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2C" w:rsidRPr="006D2526" w:rsidRDefault="003A2B2C" w:rsidP="003A2B2C">
      <w:pPr>
        <w:rPr>
          <w:rFonts w:ascii="Arial" w:hAnsi="Arial" w:cs="Arial"/>
          <w:sz w:val="18"/>
          <w:szCs w:val="18"/>
          <w:lang w:val="sr-Latn-CS"/>
        </w:rPr>
      </w:pPr>
    </w:p>
    <w:p w:rsidR="003A2B2C" w:rsidRPr="006D2526" w:rsidRDefault="003A2B2C" w:rsidP="003A2B2C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207" w:type="dxa"/>
        <w:tblLook w:val="04A0" w:firstRow="1" w:lastRow="0" w:firstColumn="1" w:lastColumn="0" w:noHBand="0" w:noVBand="1"/>
      </w:tblPr>
      <w:tblGrid>
        <w:gridCol w:w="2778"/>
        <w:gridCol w:w="3016"/>
        <w:gridCol w:w="4413"/>
      </w:tblGrid>
      <w:tr w:rsidR="00D64BEF" w:rsidRPr="005E0D89" w:rsidTr="00641965">
        <w:trPr>
          <w:trHeight w:val="1975"/>
        </w:trPr>
        <w:tc>
          <w:tcPr>
            <w:tcW w:w="1276" w:type="dxa"/>
          </w:tcPr>
          <w:p w:rsidR="00D64BEF" w:rsidRPr="006C2D63" w:rsidRDefault="00425F8A" w:rsidP="00D64BEF">
            <w:pPr>
              <w:pStyle w:val="Header"/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747520" cy="1131570"/>
                  <wp:effectExtent l="0" t="0" r="508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2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D64BEF" w:rsidRPr="006C2D63" w:rsidRDefault="00D64BEF" w:rsidP="00D64BEF">
            <w:pPr>
              <w:pStyle w:val="Head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6C2D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Република Србија</w:t>
            </w:r>
          </w:p>
          <w:p w:rsidR="00D64BEF" w:rsidRPr="006C2D63" w:rsidRDefault="00D64BEF" w:rsidP="00D64BEF">
            <w:pPr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</w:pPr>
            <w:r w:rsidRPr="006C2D63"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  <w:t xml:space="preserve">Аутономна </w:t>
            </w:r>
            <w:r w:rsidRPr="006C2D63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п</w:t>
            </w:r>
            <w:r w:rsidRPr="006C2D63"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  <w:t>окрајина Војводина</w:t>
            </w:r>
          </w:p>
          <w:p w:rsidR="00D64BEF" w:rsidRPr="006C2D63" w:rsidRDefault="00D64BEF" w:rsidP="00D64BEF">
            <w:pPr>
              <w:pStyle w:val="Header"/>
              <w:rPr>
                <w:rFonts w:ascii="Calibri" w:hAnsi="Calibri" w:cs="Arial"/>
                <w:b/>
                <w:sz w:val="22"/>
                <w:szCs w:val="22"/>
                <w:lang w:val="ru-RU"/>
              </w:rPr>
            </w:pPr>
            <w:r w:rsidRPr="006C2D63">
              <w:rPr>
                <w:rFonts w:ascii="Calibri" w:hAnsi="Calibri" w:cs="Arial"/>
                <w:b/>
                <w:sz w:val="22"/>
                <w:szCs w:val="22"/>
                <w:lang w:val="ru-RU"/>
              </w:rPr>
              <w:t>Покр</w:t>
            </w:r>
            <w:r w:rsidRPr="006C2D63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6C2D63">
              <w:rPr>
                <w:rFonts w:ascii="Calibri" w:hAnsi="Calibri" w:cs="Arial"/>
                <w:b/>
                <w:sz w:val="22"/>
                <w:szCs w:val="22"/>
                <w:lang w:val="ru-RU"/>
              </w:rPr>
              <w:t>јински секрет</w:t>
            </w:r>
            <w:r w:rsidRPr="006C2D63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6C2D63">
              <w:rPr>
                <w:rFonts w:ascii="Calibri" w:hAnsi="Calibri" w:cs="Arial"/>
                <w:b/>
                <w:sz w:val="22"/>
                <w:szCs w:val="22"/>
                <w:lang w:val="ru-RU"/>
              </w:rPr>
              <w:t>риј</w:t>
            </w:r>
            <w:r w:rsidRPr="006C2D63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6C2D63">
              <w:rPr>
                <w:rFonts w:ascii="Calibri" w:hAnsi="Calibri" w:cs="Arial"/>
                <w:b/>
                <w:sz w:val="22"/>
                <w:szCs w:val="22"/>
                <w:lang w:val="ru-RU"/>
              </w:rPr>
              <w:t>т з</w:t>
            </w:r>
            <w:r w:rsidRPr="006C2D63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6C2D63">
              <w:rPr>
                <w:rFonts w:ascii="Calibri" w:hAnsi="Calibri" w:cs="Arial"/>
                <w:b/>
                <w:sz w:val="22"/>
                <w:szCs w:val="22"/>
                <w:lang w:val="ru-RU"/>
              </w:rPr>
              <w:t xml:space="preserve"> фин</w:t>
            </w:r>
            <w:r w:rsidRPr="006C2D63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6C2D63">
              <w:rPr>
                <w:rFonts w:ascii="Calibri" w:hAnsi="Calibri" w:cs="Arial"/>
                <w:b/>
                <w:sz w:val="22"/>
                <w:szCs w:val="22"/>
                <w:lang w:val="ru-RU"/>
              </w:rPr>
              <w:t xml:space="preserve">нсије </w:t>
            </w:r>
          </w:p>
          <w:p w:rsidR="00D64BEF" w:rsidRPr="006C2D63" w:rsidRDefault="00D64BEF" w:rsidP="00D64BEF">
            <w:pPr>
              <w:pStyle w:val="Head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D64BEF" w:rsidRPr="006C2D63" w:rsidRDefault="00D64BEF" w:rsidP="00D64BEF">
            <w:pPr>
              <w:pStyle w:val="Head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6C2D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D64BEF" w:rsidRPr="006C2D63" w:rsidRDefault="00D64BEF" w:rsidP="00D64BEF">
            <w:pPr>
              <w:pStyle w:val="Foo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6C2D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Т: +381 21 487 43 45  </w:t>
            </w:r>
            <w:r w:rsidRPr="006C2D63"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Pr="006C2D6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+381 21 456 581  </w:t>
            </w:r>
          </w:p>
          <w:p w:rsidR="00D64BEF" w:rsidRPr="006C2D63" w:rsidRDefault="00D64BEF" w:rsidP="00D64BEF">
            <w:pPr>
              <w:rPr>
                <w:rFonts w:ascii="Calibri" w:hAnsi="Calibri"/>
                <w:color w:val="000000"/>
                <w:sz w:val="22"/>
                <w:szCs w:val="22"/>
                <w:lang w:val="sr-Latn-RS"/>
              </w:rPr>
            </w:pPr>
            <w:r w:rsidRPr="006C2D63">
              <w:rPr>
                <w:rFonts w:ascii="Calibri" w:hAnsi="Calibri"/>
                <w:sz w:val="22"/>
                <w:szCs w:val="22"/>
                <w:lang w:val="sr-Latn-RS"/>
              </w:rPr>
              <w:t>psfkabinet@vojvodinа.gov.rs</w:t>
            </w:r>
          </w:p>
        </w:tc>
      </w:tr>
      <w:tr w:rsidR="00D64BEF" w:rsidRPr="002733BE" w:rsidTr="00641965">
        <w:trPr>
          <w:trHeight w:val="305"/>
        </w:trPr>
        <w:tc>
          <w:tcPr>
            <w:tcW w:w="1276" w:type="dxa"/>
          </w:tcPr>
          <w:p w:rsidR="00D64BEF" w:rsidRPr="006C2D63" w:rsidRDefault="00D64BEF" w:rsidP="00D64BEF">
            <w:pPr>
              <w:pStyle w:val="Header"/>
              <w:ind w:left="-198" w:firstLine="108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D64BEF" w:rsidRPr="00B222B3" w:rsidRDefault="00D64BEF" w:rsidP="00D64BEF">
            <w:pPr>
              <w:pStyle w:val="Header"/>
              <w:rPr>
                <w:rFonts w:ascii="Calibri" w:hAnsi="Calibri"/>
                <w:sz w:val="22"/>
                <w:szCs w:val="22"/>
                <w:lang w:val="sr-Latn-RS"/>
              </w:rPr>
            </w:pPr>
            <w:r w:rsidRPr="00B222B3">
              <w:rPr>
                <w:rFonts w:ascii="Calibri" w:hAnsi="Calibri"/>
                <w:sz w:val="22"/>
                <w:szCs w:val="22"/>
              </w:rPr>
              <w:t xml:space="preserve">БРОЈ: </w:t>
            </w:r>
            <w:r w:rsidRPr="00B222B3">
              <w:rPr>
                <w:rFonts w:ascii="Calibri" w:hAnsi="Calibri"/>
                <w:sz w:val="22"/>
                <w:szCs w:val="22"/>
                <w:lang w:val="sr-Cyrl-CS"/>
              </w:rPr>
              <w:t>102-400-</w:t>
            </w:r>
            <w:r w:rsidRPr="00B222B3">
              <w:rPr>
                <w:rFonts w:ascii="Calibri" w:hAnsi="Calibri"/>
                <w:sz w:val="22"/>
                <w:szCs w:val="22"/>
              </w:rPr>
              <w:t>5</w:t>
            </w:r>
            <w:r w:rsidRPr="00B222B3">
              <w:rPr>
                <w:rFonts w:ascii="Calibri" w:hAnsi="Calibri"/>
                <w:sz w:val="22"/>
                <w:szCs w:val="22"/>
                <w:lang w:val="sr-Cyrl-CS"/>
              </w:rPr>
              <w:t>/201</w:t>
            </w:r>
            <w:r w:rsidRPr="00B222B3">
              <w:rPr>
                <w:rFonts w:ascii="Calibri" w:hAnsi="Calibri"/>
                <w:sz w:val="22"/>
                <w:szCs w:val="22"/>
                <w:lang w:val="sr-Latn-RS"/>
              </w:rPr>
              <w:t>7</w:t>
            </w:r>
            <w:r w:rsidRPr="00B222B3">
              <w:rPr>
                <w:rFonts w:ascii="Calibri" w:hAnsi="Calibri"/>
                <w:sz w:val="22"/>
                <w:szCs w:val="22"/>
                <w:lang w:val="sr-Cyrl-CS"/>
              </w:rPr>
              <w:t>-01</w:t>
            </w:r>
          </w:p>
        </w:tc>
        <w:tc>
          <w:tcPr>
            <w:tcW w:w="5448" w:type="dxa"/>
          </w:tcPr>
          <w:p w:rsidR="00D64BEF" w:rsidRPr="00B222B3" w:rsidRDefault="007E23CE" w:rsidP="00090782">
            <w:pPr>
              <w:pStyle w:val="Header"/>
              <w:ind w:left="-198" w:firstLine="108"/>
              <w:rPr>
                <w:rFonts w:ascii="Calibri" w:hAnsi="Calibri"/>
                <w:noProof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sr-Cyrl-RS"/>
              </w:rPr>
              <w:t>1</w:t>
            </w:r>
            <w:r w:rsidR="00090782">
              <w:rPr>
                <w:rFonts w:ascii="Calibri" w:hAnsi="Calibri"/>
                <w:noProof/>
                <w:color w:val="000000"/>
                <w:sz w:val="22"/>
                <w:szCs w:val="22"/>
                <w:lang w:val="sr-Cyrl-RS"/>
              </w:rPr>
              <w:t>6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sr-Cyrl-RS"/>
              </w:rPr>
              <w:t xml:space="preserve">. мај </w:t>
            </w:r>
            <w:r w:rsidR="00B222B3" w:rsidRPr="00B222B3">
              <w:rPr>
                <w:rFonts w:ascii="Calibri" w:hAnsi="Calibri"/>
                <w:noProof/>
                <w:color w:val="000000"/>
                <w:sz w:val="22"/>
                <w:szCs w:val="22"/>
                <w:lang w:val="sr-Cyrl-RS"/>
              </w:rPr>
              <w:t xml:space="preserve"> 2017. године </w:t>
            </w:r>
          </w:p>
        </w:tc>
      </w:tr>
    </w:tbl>
    <w:p w:rsidR="003A2B2C" w:rsidRPr="006D2526" w:rsidRDefault="003A2B2C" w:rsidP="003A2B2C">
      <w:pPr>
        <w:rPr>
          <w:rFonts w:ascii="Arial" w:hAnsi="Arial" w:cs="Arial"/>
          <w:sz w:val="20"/>
          <w:szCs w:val="20"/>
          <w:lang w:val="sr-Latn-CS"/>
        </w:rPr>
      </w:pPr>
    </w:p>
    <w:p w:rsidR="003A2B2C" w:rsidRDefault="003A2B2C" w:rsidP="003A2B2C">
      <w:pPr>
        <w:ind w:firstLine="600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3A2B2C" w:rsidRDefault="003A2B2C" w:rsidP="00B54250">
      <w:pPr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2733BE">
        <w:rPr>
          <w:rFonts w:ascii="Arial" w:hAnsi="Arial" w:cs="Arial"/>
          <w:b/>
          <w:bCs/>
          <w:sz w:val="18"/>
          <w:szCs w:val="18"/>
          <w:lang w:val="sr-Cyrl-CS"/>
        </w:rPr>
        <w:t>ДИРЕКТНИМ КОРИСНИЦИМА</w:t>
      </w:r>
    </w:p>
    <w:p w:rsidR="003A2B2C" w:rsidRPr="002733BE" w:rsidRDefault="003A2B2C" w:rsidP="00B54250">
      <w:pPr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2733BE">
        <w:rPr>
          <w:rFonts w:ascii="Arial" w:hAnsi="Arial" w:cs="Arial"/>
          <w:b/>
          <w:bCs/>
          <w:sz w:val="18"/>
          <w:szCs w:val="18"/>
          <w:lang w:val="sr-Cyrl-CS"/>
        </w:rPr>
        <w:t>БУЏЕТСКИХ СРЕДСТАВА АУТОНОМНЕ ПОКРАЈИНЕ ВОЈВОДИНЕ</w:t>
      </w:r>
    </w:p>
    <w:p w:rsidR="003A2B2C" w:rsidRPr="006D2526" w:rsidRDefault="003A2B2C" w:rsidP="003A2B2C">
      <w:pPr>
        <w:ind w:firstLine="600"/>
        <w:jc w:val="both"/>
        <w:rPr>
          <w:rFonts w:ascii="Arial" w:hAnsi="Arial" w:cs="Arial"/>
          <w:sz w:val="18"/>
          <w:szCs w:val="18"/>
          <w:lang w:val="sr-Latn-CS"/>
        </w:rPr>
      </w:pPr>
    </w:p>
    <w:tbl>
      <w:tblPr>
        <w:tblW w:w="10821" w:type="dxa"/>
        <w:tblInd w:w="-612" w:type="dxa"/>
        <w:tblLook w:val="01E0" w:firstRow="1" w:lastRow="1" w:firstColumn="1" w:lastColumn="1" w:noHBand="0" w:noVBand="0"/>
      </w:tblPr>
      <w:tblGrid>
        <w:gridCol w:w="10821"/>
      </w:tblGrid>
      <w:tr w:rsidR="00D25D55" w:rsidRPr="00D70B4A" w:rsidTr="0059568E">
        <w:trPr>
          <w:trHeight w:val="999"/>
        </w:trPr>
        <w:tc>
          <w:tcPr>
            <w:tcW w:w="10821" w:type="dxa"/>
            <w:shd w:val="clear" w:color="auto" w:fill="auto"/>
          </w:tcPr>
          <w:p w:rsidR="007C2311" w:rsidRDefault="007C2311" w:rsidP="007C2311">
            <w:pPr>
              <w:ind w:left="612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  <w:p w:rsidR="00D25D55" w:rsidRPr="00D70B4A" w:rsidRDefault="007C2311" w:rsidP="007C2311">
            <w:pPr>
              <w:ind w:left="612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ПРЕДМЕТ: </w:t>
            </w:r>
            <w:r w:rsidR="00BD765D">
              <w:rPr>
                <w:rFonts w:ascii="Calibri" w:hAnsi="Calibri" w:cs="Arial"/>
                <w:b/>
                <w:sz w:val="22"/>
                <w:szCs w:val="22"/>
                <w:lang w:val="sr-Cyrl-RS"/>
              </w:rPr>
              <w:t xml:space="preserve">ИЗМЕНЕ И ДОПУНЕ </w:t>
            </w:r>
            <w:r w:rsidR="00BD765D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СМЕРНИЦА</w:t>
            </w:r>
            <w:r w:rsidR="00D70B4A" w:rsidRPr="00D70B4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 </w:t>
            </w:r>
            <w:r w:rsidR="00D25D55" w:rsidRPr="00D70B4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ЗА ПРИПРЕМУ НАЦРТА ПОКРАЈИНСКЕ СКУПШТИНСКЕ ОДЛУКЕ</w:t>
            </w: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</w:t>
            </w:r>
            <w:r w:rsidR="00D25D55" w:rsidRPr="00D70B4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О   РЕБАЛАНСУ БУЏЕТА АУТОНОМНЕ ПОКРАЈИНЕ ВОЈВОДИНЕ ЗА 201</w:t>
            </w:r>
            <w:r w:rsidR="00324D02" w:rsidRPr="00D70B4A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D25D55" w:rsidRPr="00D70B4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. ГОДИНУ</w:t>
            </w:r>
          </w:p>
        </w:tc>
      </w:tr>
    </w:tbl>
    <w:p w:rsidR="00D25D55" w:rsidRPr="00D70B4A" w:rsidRDefault="00D25D55" w:rsidP="00D25D55">
      <w:pPr>
        <w:ind w:firstLine="600"/>
        <w:jc w:val="center"/>
        <w:rPr>
          <w:rFonts w:ascii="Calibri" w:hAnsi="Calibri" w:cs="Arial"/>
          <w:b/>
          <w:bCs/>
          <w:sz w:val="22"/>
          <w:szCs w:val="22"/>
          <w:lang w:val="sr-Cyrl-CS"/>
        </w:rPr>
      </w:pPr>
    </w:p>
    <w:p w:rsidR="001D68F6" w:rsidRDefault="001D68F6" w:rsidP="001D68F6">
      <w:pPr>
        <w:ind w:firstLine="600"/>
        <w:jc w:val="both"/>
        <w:rPr>
          <w:rFonts w:ascii="Calibri" w:hAnsi="Calibri" w:cs="Arial"/>
          <w:bCs/>
          <w:sz w:val="22"/>
          <w:szCs w:val="22"/>
          <w:lang w:val="sr-Cyrl-RS"/>
        </w:rPr>
      </w:pPr>
      <w:r>
        <w:rPr>
          <w:rFonts w:ascii="Calibri" w:hAnsi="Calibri" w:cs="Arial"/>
          <w:b/>
          <w:bCs/>
          <w:sz w:val="22"/>
          <w:szCs w:val="22"/>
          <w:lang w:val="sr-Cyrl-RS"/>
        </w:rPr>
        <w:t xml:space="preserve">У односу на </w:t>
      </w:r>
      <w:r>
        <w:rPr>
          <w:rFonts w:ascii="Calibri" w:hAnsi="Calibri" w:cs="Arial"/>
          <w:b/>
          <w:sz w:val="22"/>
          <w:szCs w:val="22"/>
          <w:lang w:val="sr-Cyrl-CS"/>
        </w:rPr>
        <w:t>СМЕРНИЦЕ</w:t>
      </w:r>
      <w:r w:rsidRPr="00D70B4A">
        <w:rPr>
          <w:rFonts w:ascii="Calibri" w:hAnsi="Calibri" w:cs="Arial"/>
          <w:b/>
          <w:sz w:val="22"/>
          <w:szCs w:val="22"/>
          <w:lang w:val="sr-Cyrl-CS"/>
        </w:rPr>
        <w:t xml:space="preserve">   ЗА ПРИПРЕМУ НАЦРТА ПОКРАЈИНСКЕ СКУПШТИНСКЕ ОДЛУКЕ</w:t>
      </w:r>
      <w:r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D70B4A">
        <w:rPr>
          <w:rFonts w:ascii="Calibri" w:hAnsi="Calibri" w:cs="Arial"/>
          <w:b/>
          <w:sz w:val="22"/>
          <w:szCs w:val="22"/>
          <w:lang w:val="sr-Cyrl-CS"/>
        </w:rPr>
        <w:t>О   РЕБАЛАНСУ БУЏЕТА АУТОНОМНЕ ПОКРАЈИНЕ ВОЈВОДИНЕ ЗА 201</w:t>
      </w:r>
      <w:r w:rsidRPr="00D70B4A">
        <w:rPr>
          <w:rFonts w:ascii="Calibri" w:hAnsi="Calibri" w:cs="Arial"/>
          <w:b/>
          <w:sz w:val="22"/>
          <w:szCs w:val="22"/>
        </w:rPr>
        <w:t>7</w:t>
      </w:r>
      <w:r w:rsidRPr="00D70B4A">
        <w:rPr>
          <w:rFonts w:ascii="Calibri" w:hAnsi="Calibri" w:cs="Arial"/>
          <w:b/>
          <w:sz w:val="22"/>
          <w:szCs w:val="22"/>
          <w:lang w:val="sr-Cyrl-CS"/>
        </w:rPr>
        <w:t>. ГОДИНУ</w:t>
      </w:r>
      <w:r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1D68F6">
        <w:rPr>
          <w:rFonts w:ascii="Calibri" w:hAnsi="Calibri" w:cs="Arial"/>
          <w:sz w:val="22"/>
          <w:szCs w:val="22"/>
          <w:lang w:val="sr-Cyrl-CS"/>
        </w:rPr>
        <w:t>Покрајинског секретаријата за финансије број:</w:t>
      </w:r>
      <w:r>
        <w:rPr>
          <w:rFonts w:ascii="Calibri" w:hAnsi="Calibri" w:cs="Arial"/>
          <w:b/>
          <w:sz w:val="22"/>
          <w:szCs w:val="22"/>
          <w:lang w:val="sr-Cyrl-CS"/>
        </w:rPr>
        <w:t xml:space="preserve"> </w:t>
      </w:r>
      <w:r w:rsidRPr="00B222B3">
        <w:rPr>
          <w:rFonts w:ascii="Calibri" w:hAnsi="Calibri"/>
          <w:sz w:val="22"/>
          <w:szCs w:val="22"/>
          <w:lang w:val="sr-Cyrl-CS"/>
        </w:rPr>
        <w:t>102-400-</w:t>
      </w:r>
      <w:r w:rsidRPr="00B222B3">
        <w:rPr>
          <w:rFonts w:ascii="Calibri" w:hAnsi="Calibri"/>
          <w:sz w:val="22"/>
          <w:szCs w:val="22"/>
        </w:rPr>
        <w:t>5</w:t>
      </w:r>
      <w:r w:rsidRPr="00B222B3">
        <w:rPr>
          <w:rFonts w:ascii="Calibri" w:hAnsi="Calibri"/>
          <w:sz w:val="22"/>
          <w:szCs w:val="22"/>
          <w:lang w:val="sr-Cyrl-CS"/>
        </w:rPr>
        <w:t>/201</w:t>
      </w:r>
      <w:r w:rsidRPr="00B222B3">
        <w:rPr>
          <w:rFonts w:ascii="Calibri" w:hAnsi="Calibri"/>
          <w:sz w:val="22"/>
          <w:szCs w:val="22"/>
          <w:lang w:val="sr-Latn-RS"/>
        </w:rPr>
        <w:t>7</w:t>
      </w:r>
      <w:r w:rsidRPr="00B222B3">
        <w:rPr>
          <w:rFonts w:ascii="Calibri" w:hAnsi="Calibri"/>
          <w:sz w:val="22"/>
          <w:szCs w:val="22"/>
          <w:lang w:val="sr-Cyrl-CS"/>
        </w:rPr>
        <w:t>-01</w:t>
      </w:r>
      <w:r>
        <w:rPr>
          <w:rFonts w:ascii="Calibri" w:hAnsi="Calibri"/>
          <w:sz w:val="22"/>
          <w:szCs w:val="22"/>
          <w:lang w:val="sr-Cyrl-CS"/>
        </w:rPr>
        <w:t xml:space="preserve"> од 28. априла 2017. године, </w:t>
      </w:r>
      <w:r>
        <w:rPr>
          <w:rFonts w:ascii="Calibri" w:hAnsi="Calibri" w:cs="Arial"/>
          <w:b/>
          <w:bCs/>
          <w:sz w:val="22"/>
          <w:szCs w:val="22"/>
          <w:lang w:val="sr-Cyrl-RS"/>
        </w:rPr>
        <w:t xml:space="preserve"> </w:t>
      </w:r>
      <w:r w:rsidRPr="001D68F6">
        <w:rPr>
          <w:rFonts w:ascii="Calibri" w:hAnsi="Calibri" w:cs="Arial"/>
          <w:bCs/>
          <w:sz w:val="22"/>
          <w:szCs w:val="22"/>
          <w:lang w:val="sr-Cyrl-RS"/>
        </w:rPr>
        <w:t>(у даљем тексту: Смернице),</w:t>
      </w:r>
      <w:r>
        <w:rPr>
          <w:rFonts w:ascii="Calibri" w:hAnsi="Calibri" w:cs="Arial"/>
          <w:bCs/>
          <w:sz w:val="22"/>
          <w:szCs w:val="22"/>
          <w:lang w:val="sr-Cyrl-RS"/>
        </w:rPr>
        <w:t xml:space="preserve"> а као резултат у међувремену: </w:t>
      </w:r>
    </w:p>
    <w:p w:rsidR="001D68F6" w:rsidRDefault="001D68F6" w:rsidP="001D68F6">
      <w:pPr>
        <w:ind w:firstLine="600"/>
        <w:jc w:val="both"/>
        <w:rPr>
          <w:rFonts w:ascii="Calibri" w:hAnsi="Calibri" w:cs="Arial"/>
          <w:bCs/>
          <w:sz w:val="22"/>
          <w:szCs w:val="22"/>
          <w:lang w:val="sr-Cyrl-RS"/>
        </w:rPr>
      </w:pPr>
      <w:r>
        <w:rPr>
          <w:rFonts w:ascii="Calibri" w:hAnsi="Calibri" w:cs="Arial"/>
          <w:bCs/>
          <w:sz w:val="22"/>
          <w:szCs w:val="22"/>
          <w:lang w:val="sr-Cyrl-RS"/>
        </w:rPr>
        <w:t xml:space="preserve">-  извршеног ревидирања пренетих средстава из ранијих година, према предлогу  завршног рачуна буџета АП Војводине за  2016. годину, која је могуће укључити и распоредити ребалансом; </w:t>
      </w:r>
    </w:p>
    <w:p w:rsidR="00B80D5F" w:rsidRDefault="00B80D5F" w:rsidP="00B80D5F">
      <w:pPr>
        <w:ind w:firstLine="600"/>
        <w:jc w:val="both"/>
        <w:rPr>
          <w:rFonts w:ascii="Calibri" w:hAnsi="Calibri"/>
          <w:sz w:val="22"/>
          <w:szCs w:val="22"/>
          <w:lang w:val="ru-RU"/>
        </w:rPr>
      </w:pPr>
      <w:r w:rsidRPr="00B80D5F">
        <w:rPr>
          <w:rFonts w:ascii="Calibri" w:hAnsi="Calibri" w:cs="Arial"/>
          <w:bCs/>
          <w:sz w:val="22"/>
          <w:szCs w:val="22"/>
          <w:lang w:val="sr-Cyrl-RS"/>
        </w:rPr>
        <w:t xml:space="preserve">-прикупљених података о процени промене </w:t>
      </w:r>
      <w:r w:rsidRPr="00B80D5F">
        <w:rPr>
          <w:rFonts w:ascii="Calibri" w:hAnsi="Calibri"/>
          <w:sz w:val="22"/>
          <w:szCs w:val="22"/>
          <w:lang w:val="ru-RU"/>
        </w:rPr>
        <w:t xml:space="preserve"> висине планираних прихода који се остварују по посебним законима</w:t>
      </w:r>
      <w:r w:rsidR="007D0A6A">
        <w:rPr>
          <w:rFonts w:ascii="Calibri" w:hAnsi="Calibri"/>
          <w:sz w:val="22"/>
          <w:szCs w:val="22"/>
        </w:rPr>
        <w:t xml:space="preserve">, a </w:t>
      </w:r>
      <w:r w:rsidRPr="00B80D5F">
        <w:rPr>
          <w:rFonts w:ascii="Calibri" w:hAnsi="Calibri"/>
          <w:sz w:val="22"/>
          <w:szCs w:val="22"/>
          <w:lang w:val="ru-RU"/>
        </w:rPr>
        <w:t xml:space="preserve"> које су  на захтев Покрајинског секретаријата за финансије доставили  директни буџетски корисници одговорни за њихово праћење и наплату</w:t>
      </w:r>
      <w:r>
        <w:rPr>
          <w:rFonts w:ascii="Calibri" w:hAnsi="Calibri"/>
          <w:sz w:val="22"/>
          <w:szCs w:val="22"/>
          <w:lang w:val="ru-RU"/>
        </w:rPr>
        <w:t xml:space="preserve">; </w:t>
      </w:r>
    </w:p>
    <w:p w:rsidR="00090782" w:rsidRDefault="00B80D5F" w:rsidP="00090782">
      <w:pPr>
        <w:ind w:firstLine="600"/>
        <w:jc w:val="both"/>
        <w:rPr>
          <w:rFonts w:ascii="Calibri" w:hAnsi="Calibri"/>
          <w:sz w:val="22"/>
          <w:szCs w:val="22"/>
        </w:rPr>
      </w:pPr>
      <w:r w:rsidRPr="00B80D5F">
        <w:rPr>
          <w:rFonts w:ascii="Calibri" w:hAnsi="Calibri"/>
          <w:sz w:val="22"/>
          <w:szCs w:val="22"/>
          <w:lang w:val="ru-RU"/>
        </w:rPr>
        <w:t xml:space="preserve">- нове пројекције Развојног фонда АП Војводине о остварењу наплате  прихода од камата и примања </w:t>
      </w:r>
      <w:r w:rsidR="007D0A6A">
        <w:rPr>
          <w:rFonts w:ascii="Calibri" w:hAnsi="Calibri"/>
          <w:sz w:val="22"/>
          <w:szCs w:val="22"/>
          <w:lang w:val="ru-RU"/>
        </w:rPr>
        <w:t>по основу отплате главнице дуга</w:t>
      </w:r>
      <w:r w:rsidRPr="00B80D5F">
        <w:rPr>
          <w:rFonts w:ascii="Calibri" w:hAnsi="Calibri"/>
          <w:sz w:val="22"/>
          <w:szCs w:val="22"/>
          <w:lang w:val="ru-RU"/>
        </w:rPr>
        <w:t>, односно  обавеза по кредитима из портфолиа чије је праћење и наплату АП Војводина поверила овом фонду</w:t>
      </w:r>
      <w:r w:rsidR="00090782">
        <w:rPr>
          <w:rFonts w:ascii="Calibri" w:hAnsi="Calibri"/>
          <w:sz w:val="22"/>
          <w:szCs w:val="22"/>
          <w:lang w:val="sr-Cyrl-RS"/>
        </w:rPr>
        <w:t xml:space="preserve">; </w:t>
      </w:r>
      <w:r w:rsidRPr="00B80D5F">
        <w:rPr>
          <w:rFonts w:ascii="Calibri" w:hAnsi="Calibri"/>
          <w:sz w:val="22"/>
          <w:szCs w:val="22"/>
          <w:lang w:val="ru-RU"/>
        </w:rPr>
        <w:t xml:space="preserve"> </w:t>
      </w:r>
    </w:p>
    <w:p w:rsidR="007D0A6A" w:rsidRPr="007D0A6A" w:rsidRDefault="007D0A6A" w:rsidP="00090782">
      <w:pPr>
        <w:ind w:firstLine="60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-других у међувремену ревидираних процена оставрења прихода, процењених  на бази тенденције оставрења у прва четири месеца ове године и </w:t>
      </w:r>
    </w:p>
    <w:p w:rsidR="00B80D5F" w:rsidRPr="00B80D5F" w:rsidRDefault="00B80D5F" w:rsidP="007D0A6A">
      <w:pPr>
        <w:ind w:firstLine="600"/>
        <w:jc w:val="both"/>
        <w:rPr>
          <w:rFonts w:ascii="Calibri" w:hAnsi="Calibri"/>
          <w:sz w:val="22"/>
          <w:szCs w:val="22"/>
          <w:lang w:val="ru-RU"/>
        </w:rPr>
      </w:pPr>
      <w:r w:rsidRPr="00B80D5F">
        <w:rPr>
          <w:rFonts w:ascii="Calibri" w:hAnsi="Calibri"/>
          <w:sz w:val="22"/>
          <w:szCs w:val="22"/>
          <w:lang w:val="ru-RU"/>
        </w:rPr>
        <w:t xml:space="preserve">- </w:t>
      </w:r>
      <w:r w:rsidRPr="00B80D5F">
        <w:rPr>
          <w:rFonts w:ascii="Calibri" w:hAnsi="Calibri" w:cs="Arial"/>
          <w:sz w:val="22"/>
          <w:szCs w:val="22"/>
          <w:lang w:val="sr-Cyrl-CS"/>
        </w:rPr>
        <w:t>утврђених и усаглашених  приоритета расподеле повећаних средстава која се укључују у ребаланс</w:t>
      </w:r>
      <w:r w:rsidRPr="00B80D5F">
        <w:rPr>
          <w:rStyle w:val="FootnoteReference"/>
          <w:rFonts w:ascii="Calibri" w:hAnsi="Calibri" w:cs="Arial"/>
          <w:sz w:val="22"/>
          <w:szCs w:val="22"/>
          <w:lang w:val="sr-Cyrl-CS"/>
        </w:rPr>
        <w:footnoteReference w:id="1"/>
      </w:r>
      <w:r w:rsidR="00090782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1D68F6" w:rsidRDefault="001D68F6" w:rsidP="00D25D55">
      <w:pPr>
        <w:ind w:firstLine="600"/>
        <w:jc w:val="center"/>
        <w:rPr>
          <w:rFonts w:ascii="Calibri" w:hAnsi="Calibri" w:cs="Arial"/>
          <w:b/>
          <w:bCs/>
          <w:sz w:val="22"/>
          <w:szCs w:val="22"/>
          <w:lang w:val="sr-Cyrl-RS"/>
        </w:rPr>
      </w:pPr>
    </w:p>
    <w:p w:rsidR="00B80D5F" w:rsidRPr="00FB7F16" w:rsidRDefault="00B80D5F" w:rsidP="001D68F6">
      <w:pPr>
        <w:ind w:firstLine="600"/>
        <w:jc w:val="both"/>
        <w:rPr>
          <w:rFonts w:ascii="Calibri" w:hAnsi="Calibri" w:cs="Arial"/>
          <w:b/>
          <w:bCs/>
          <w:sz w:val="22"/>
          <w:szCs w:val="22"/>
          <w:u w:val="single"/>
          <w:lang w:val="sr-Cyrl-RS"/>
        </w:rPr>
      </w:pPr>
      <w:r w:rsidRPr="00FB7F16">
        <w:rPr>
          <w:rFonts w:ascii="Calibri" w:hAnsi="Calibri" w:cs="Arial"/>
          <w:b/>
          <w:bCs/>
          <w:sz w:val="22"/>
          <w:szCs w:val="22"/>
          <w:u w:val="single"/>
          <w:lang w:val="sr-Cyrl-RS"/>
        </w:rPr>
        <w:t xml:space="preserve">Смернице се мењају и допуњују у следећем: </w:t>
      </w:r>
    </w:p>
    <w:p w:rsidR="00B80D5F" w:rsidRDefault="00B80D5F" w:rsidP="001D68F6">
      <w:pPr>
        <w:ind w:firstLine="600"/>
        <w:jc w:val="both"/>
        <w:rPr>
          <w:rFonts w:ascii="Calibri" w:hAnsi="Calibri" w:cs="Arial"/>
          <w:b/>
          <w:bCs/>
          <w:sz w:val="22"/>
          <w:szCs w:val="22"/>
          <w:lang w:val="sr-Cyrl-RS"/>
        </w:rPr>
      </w:pPr>
    </w:p>
    <w:p w:rsidR="00661F75" w:rsidRDefault="00B80D5F" w:rsidP="001D68F6">
      <w:pPr>
        <w:ind w:firstLine="600"/>
        <w:jc w:val="both"/>
        <w:rPr>
          <w:rFonts w:ascii="Calibri" w:hAnsi="Calibri" w:cs="Arial"/>
          <w:b/>
          <w:bCs/>
          <w:sz w:val="22"/>
          <w:szCs w:val="22"/>
          <w:lang w:val="sr-Cyrl-RS"/>
        </w:rPr>
      </w:pPr>
      <w:r>
        <w:rPr>
          <w:rFonts w:ascii="Calibri" w:hAnsi="Calibri" w:cs="Arial"/>
          <w:b/>
          <w:bCs/>
          <w:sz w:val="22"/>
          <w:szCs w:val="22"/>
          <w:lang w:val="sr-Cyrl-RS"/>
        </w:rPr>
        <w:t>У делу</w:t>
      </w:r>
      <w:r w:rsidR="001D68F6">
        <w:rPr>
          <w:rFonts w:ascii="Calibri" w:hAnsi="Calibri" w:cs="Arial"/>
          <w:b/>
          <w:bCs/>
          <w:sz w:val="22"/>
          <w:szCs w:val="22"/>
          <w:lang w:val="sr-Cyrl-RS"/>
        </w:rPr>
        <w:t xml:space="preserve">: </w:t>
      </w:r>
      <w:r w:rsidR="00D25D55" w:rsidRPr="00D70B4A">
        <w:rPr>
          <w:rFonts w:ascii="Calibri" w:hAnsi="Calibri" w:cs="Arial"/>
          <w:b/>
          <w:bCs/>
          <w:sz w:val="22"/>
          <w:szCs w:val="22"/>
          <w:lang w:val="sr-Latn-CS"/>
        </w:rPr>
        <w:t>I УВОДНИ ДЕО-РАЗЛОЗИ ЗА ИЗРАДУ РЕБАЛАНСА</w:t>
      </w:r>
      <w:r w:rsidR="001D68F6">
        <w:rPr>
          <w:rFonts w:ascii="Calibri" w:hAnsi="Calibri" w:cs="Arial"/>
          <w:b/>
          <w:bCs/>
          <w:sz w:val="22"/>
          <w:szCs w:val="22"/>
          <w:lang w:val="sr-Cyrl-RS"/>
        </w:rPr>
        <w:t xml:space="preserve">, </w:t>
      </w:r>
    </w:p>
    <w:p w:rsidR="005D2488" w:rsidRDefault="005D2488" w:rsidP="001D68F6">
      <w:pPr>
        <w:ind w:firstLine="600"/>
        <w:jc w:val="both"/>
        <w:rPr>
          <w:rFonts w:ascii="Calibri" w:hAnsi="Calibri" w:cs="Arial"/>
          <w:b/>
          <w:bCs/>
          <w:sz w:val="22"/>
          <w:szCs w:val="22"/>
          <w:lang w:val="sr-Cyrl-RS"/>
        </w:rPr>
      </w:pPr>
    </w:p>
    <w:p w:rsidR="0028159E" w:rsidRDefault="005D2488" w:rsidP="007D0A6A">
      <w:pPr>
        <w:pStyle w:val="Normal1"/>
        <w:ind w:left="-284" w:firstLine="284"/>
        <w:jc w:val="both"/>
        <w:rPr>
          <w:rFonts w:ascii="Calibri" w:hAnsi="Calibri"/>
          <w:lang w:val="ru-RU"/>
        </w:rPr>
      </w:pPr>
      <w:r w:rsidRPr="00ED0E09">
        <w:rPr>
          <w:rFonts w:ascii="Calibri" w:hAnsi="Calibri"/>
          <w:b/>
          <w:bCs/>
          <w:lang w:val="sr-Cyrl-RS"/>
        </w:rPr>
        <w:t>у тачки 1.</w:t>
      </w:r>
      <w:r>
        <w:rPr>
          <w:rFonts w:ascii="Calibri" w:hAnsi="Calibri"/>
          <w:bCs/>
          <w:lang w:val="sr-Cyrl-RS"/>
        </w:rPr>
        <w:t xml:space="preserve"> </w:t>
      </w:r>
      <w:r w:rsidRPr="005D2488">
        <w:rPr>
          <w:rFonts w:ascii="Calibri" w:hAnsi="Calibri"/>
          <w:bCs/>
          <w:lang w:val="sr-Cyrl-RS"/>
        </w:rPr>
        <w:t xml:space="preserve"> </w:t>
      </w:r>
      <w:r w:rsidR="0028159E">
        <w:rPr>
          <w:rFonts w:ascii="Calibri" w:hAnsi="Calibri"/>
          <w:bCs/>
          <w:lang w:val="sr-Cyrl-RS"/>
        </w:rPr>
        <w:t>којом је аргументована процена остварења уступљених прихода и наведен</w:t>
      </w:r>
      <w:r w:rsidR="004F523A">
        <w:rPr>
          <w:rFonts w:ascii="Calibri" w:hAnsi="Calibri"/>
          <w:bCs/>
          <w:lang w:val="sr-Cyrl-RS"/>
        </w:rPr>
        <w:t xml:space="preserve">и ризици процене у смислу непредвидивости и нестабилности </w:t>
      </w:r>
      <w:r w:rsidR="0028159E">
        <w:rPr>
          <w:rFonts w:ascii="Calibri" w:hAnsi="Calibri"/>
          <w:bCs/>
          <w:lang w:val="sr-Cyrl-RS"/>
        </w:rPr>
        <w:t xml:space="preserve"> пројекција </w:t>
      </w:r>
      <w:r w:rsidR="004F523A">
        <w:rPr>
          <w:rFonts w:ascii="Calibri" w:hAnsi="Calibri"/>
          <w:bCs/>
          <w:lang w:val="sr-Cyrl-RS"/>
        </w:rPr>
        <w:t xml:space="preserve">прихода од пореза на добит, </w:t>
      </w:r>
      <w:r w:rsidR="00ED0E09">
        <w:rPr>
          <w:rFonts w:ascii="Calibri" w:hAnsi="Calibri"/>
          <w:bCs/>
          <w:lang w:val="sr-Cyrl-RS"/>
        </w:rPr>
        <w:t xml:space="preserve">а </w:t>
      </w:r>
      <w:r w:rsidR="004F523A">
        <w:rPr>
          <w:rFonts w:ascii="Calibri" w:hAnsi="Calibri"/>
          <w:bCs/>
          <w:lang w:val="sr-Cyrl-RS"/>
        </w:rPr>
        <w:t xml:space="preserve">у односу на Смернице којима је  процењено да је приход из </w:t>
      </w:r>
      <w:r w:rsidR="00ED0E09">
        <w:rPr>
          <w:rFonts w:ascii="Calibri" w:hAnsi="Calibri"/>
          <w:bCs/>
          <w:lang w:val="sr-Cyrl-RS"/>
        </w:rPr>
        <w:t xml:space="preserve">овог </w:t>
      </w:r>
      <w:r w:rsidR="004F523A">
        <w:rPr>
          <w:rFonts w:ascii="Calibri" w:hAnsi="Calibri"/>
          <w:bCs/>
          <w:lang w:val="sr-Cyrl-RS"/>
        </w:rPr>
        <w:t>пореског облика</w:t>
      </w:r>
      <w:r w:rsidR="00ED0E09">
        <w:rPr>
          <w:rFonts w:ascii="Calibri" w:hAnsi="Calibri"/>
          <w:bCs/>
          <w:lang w:val="sr-Cyrl-RS"/>
        </w:rPr>
        <w:t xml:space="preserve"> </w:t>
      </w:r>
      <w:r w:rsidR="004F523A">
        <w:rPr>
          <w:rFonts w:ascii="Calibri" w:hAnsi="Calibri"/>
          <w:bCs/>
          <w:lang w:val="sr-Cyrl-RS"/>
        </w:rPr>
        <w:t>могуће ребалансом ревидирати за 690 милиона динара</w:t>
      </w:r>
      <w:r w:rsidR="00ED0E09">
        <w:rPr>
          <w:rFonts w:ascii="Calibri" w:hAnsi="Calibri"/>
          <w:bCs/>
          <w:lang w:val="sr-Cyrl-RS"/>
        </w:rPr>
        <w:t xml:space="preserve"> (што представља повећање од 10,6%у односу на првобитну пројекцију)</w:t>
      </w:r>
      <w:r w:rsidR="004F523A">
        <w:rPr>
          <w:rFonts w:ascii="Calibri" w:hAnsi="Calibri"/>
          <w:bCs/>
          <w:lang w:val="sr-Cyrl-RS"/>
        </w:rPr>
        <w:t xml:space="preserve">, овим </w:t>
      </w:r>
      <w:r w:rsidR="00ED0E09">
        <w:rPr>
          <w:rFonts w:ascii="Calibri" w:hAnsi="Calibri"/>
          <w:bCs/>
          <w:lang w:val="sr-Cyrl-RS"/>
        </w:rPr>
        <w:t xml:space="preserve">измењеним </w:t>
      </w:r>
      <w:r w:rsidR="004F523A">
        <w:rPr>
          <w:rFonts w:ascii="Calibri" w:hAnsi="Calibri"/>
          <w:bCs/>
          <w:lang w:val="sr-Cyrl-RS"/>
        </w:rPr>
        <w:t xml:space="preserve">смерницама </w:t>
      </w:r>
      <w:r w:rsidR="00521678">
        <w:rPr>
          <w:rFonts w:ascii="Calibri" w:hAnsi="Calibri"/>
          <w:bCs/>
          <w:lang w:val="sr-Cyrl-RS"/>
        </w:rPr>
        <w:t xml:space="preserve">наведена процена </w:t>
      </w:r>
      <w:r w:rsidR="004F523A">
        <w:rPr>
          <w:rFonts w:ascii="Calibri" w:hAnsi="Calibri"/>
          <w:bCs/>
          <w:lang w:val="sr-Cyrl-RS"/>
        </w:rPr>
        <w:t>повећа</w:t>
      </w:r>
      <w:r w:rsidR="00521678">
        <w:rPr>
          <w:rFonts w:ascii="Calibri" w:hAnsi="Calibri"/>
          <w:bCs/>
          <w:lang w:val="sr-Cyrl-RS"/>
        </w:rPr>
        <w:t xml:space="preserve">на је за још </w:t>
      </w:r>
      <w:r w:rsidR="004F523A">
        <w:rPr>
          <w:rFonts w:ascii="Calibri" w:hAnsi="Calibri"/>
          <w:bCs/>
          <w:lang w:val="sr-Cyrl-RS"/>
        </w:rPr>
        <w:t xml:space="preserve"> 60 милиона динара и износи 750 милиона динара (</w:t>
      </w:r>
      <w:r w:rsidR="00521678">
        <w:rPr>
          <w:rFonts w:ascii="Calibri" w:hAnsi="Calibri"/>
          <w:bCs/>
          <w:lang w:val="sr-Cyrl-RS"/>
        </w:rPr>
        <w:t xml:space="preserve">што представља повећање од </w:t>
      </w:r>
      <w:r w:rsidR="004F523A">
        <w:rPr>
          <w:rFonts w:ascii="Calibri" w:hAnsi="Calibri"/>
          <w:bCs/>
          <w:lang w:val="sr-Cyrl-RS"/>
        </w:rPr>
        <w:t xml:space="preserve"> 11,5%). </w:t>
      </w:r>
      <w:r w:rsidR="00521678">
        <w:rPr>
          <w:rFonts w:ascii="Calibri" w:hAnsi="Calibri"/>
          <w:bCs/>
          <w:lang w:val="sr-Cyrl-RS"/>
        </w:rPr>
        <w:t xml:space="preserve">Процена могуће корекције остварења прихода од пореза на добит на више,  базрана је на досадашњем остварењу,  које кумулативно у периоду јануар-април ове године бележи раст од преко 30% у односу на исти период прошле године. </w:t>
      </w:r>
      <w:r w:rsidR="0028159E">
        <w:rPr>
          <w:rFonts w:ascii="Calibri" w:hAnsi="Calibri"/>
          <w:lang w:val="ru-RU"/>
        </w:rPr>
        <w:t xml:space="preserve">Респектујући </w:t>
      </w:r>
      <w:r w:rsidR="00521678">
        <w:rPr>
          <w:rFonts w:ascii="Calibri" w:hAnsi="Calibri"/>
          <w:lang w:val="ru-RU"/>
        </w:rPr>
        <w:t xml:space="preserve">и даље </w:t>
      </w:r>
      <w:r w:rsidR="0028159E">
        <w:rPr>
          <w:rFonts w:ascii="Calibri" w:hAnsi="Calibri"/>
          <w:lang w:val="ru-RU"/>
        </w:rPr>
        <w:t>наведен</w:t>
      </w:r>
      <w:r w:rsidR="00521678">
        <w:rPr>
          <w:rFonts w:ascii="Calibri" w:hAnsi="Calibri"/>
          <w:lang w:val="ru-RU"/>
        </w:rPr>
        <w:t xml:space="preserve">е ризике процене, апроксимација ове тенденције редукована је за преко 40%, те је као  реалана оцењена </w:t>
      </w:r>
      <w:r w:rsidR="00521678" w:rsidRPr="007D0A6A">
        <w:rPr>
          <w:rFonts w:ascii="Calibri" w:hAnsi="Calibri"/>
          <w:b/>
          <w:lang w:val="ru-RU"/>
        </w:rPr>
        <w:t>пројекција повећања прихода од пореза на добит за 750 милиона динара</w:t>
      </w:r>
      <w:r w:rsidR="00521678">
        <w:rPr>
          <w:rFonts w:ascii="Calibri" w:hAnsi="Calibri"/>
          <w:lang w:val="ru-RU"/>
        </w:rPr>
        <w:t xml:space="preserve">.  </w:t>
      </w:r>
    </w:p>
    <w:p w:rsidR="004A7D72" w:rsidRDefault="004A7D72" w:rsidP="00521678">
      <w:pPr>
        <w:spacing w:before="120"/>
        <w:ind w:firstLine="600"/>
        <w:jc w:val="both"/>
        <w:rPr>
          <w:rFonts w:ascii="Calibri" w:hAnsi="Calibri"/>
          <w:sz w:val="22"/>
          <w:szCs w:val="22"/>
          <w:lang w:val="ru-RU"/>
        </w:rPr>
      </w:pPr>
    </w:p>
    <w:p w:rsidR="004A7D72" w:rsidRDefault="004A7D72" w:rsidP="00521678">
      <w:pPr>
        <w:spacing w:before="120"/>
        <w:ind w:firstLine="600"/>
        <w:jc w:val="both"/>
        <w:rPr>
          <w:rFonts w:ascii="Calibri" w:hAnsi="Calibri"/>
          <w:sz w:val="22"/>
          <w:szCs w:val="22"/>
          <w:lang w:val="sr-Cyrl-RS"/>
        </w:rPr>
      </w:pPr>
    </w:p>
    <w:p w:rsidR="004A7D72" w:rsidRDefault="004A7D72" w:rsidP="001D68F6">
      <w:pPr>
        <w:ind w:firstLine="600"/>
        <w:jc w:val="both"/>
        <w:rPr>
          <w:rFonts w:ascii="Calibri" w:hAnsi="Calibri" w:cs="Arial"/>
          <w:bCs/>
          <w:sz w:val="22"/>
          <w:szCs w:val="22"/>
          <w:lang w:val="sr-Cyrl-RS"/>
        </w:rPr>
      </w:pPr>
    </w:p>
    <w:p w:rsidR="00D25D55" w:rsidRDefault="00661F75" w:rsidP="007D0A6A">
      <w:pPr>
        <w:pStyle w:val="Normal1"/>
        <w:ind w:left="-284" w:firstLine="284"/>
        <w:jc w:val="both"/>
        <w:rPr>
          <w:rFonts w:ascii="Calibri" w:hAnsi="Calibri"/>
          <w:lang w:val="ru-RU"/>
        </w:rPr>
      </w:pPr>
      <w:r w:rsidRPr="00ED0E09">
        <w:rPr>
          <w:rFonts w:ascii="Calibri" w:hAnsi="Calibri"/>
          <w:b/>
          <w:bCs/>
          <w:lang w:val="sr-Cyrl-RS"/>
        </w:rPr>
        <w:t>у тачки 3.</w:t>
      </w:r>
      <w:r w:rsidRPr="001C0378">
        <w:rPr>
          <w:rFonts w:ascii="Calibri" w:hAnsi="Calibri"/>
          <w:bCs/>
          <w:lang w:val="sr-Cyrl-RS"/>
        </w:rPr>
        <w:t xml:space="preserve">  која се односи на ревидиран износ  </w:t>
      </w:r>
      <w:r w:rsidR="00D25D55" w:rsidRPr="001C0378">
        <w:rPr>
          <w:rFonts w:ascii="Calibri" w:hAnsi="Calibri"/>
          <w:lang w:val="ru-RU"/>
        </w:rPr>
        <w:t xml:space="preserve"> </w:t>
      </w:r>
      <w:r w:rsidR="00D25D55" w:rsidRPr="001C0378">
        <w:rPr>
          <w:rFonts w:ascii="Calibri" w:hAnsi="Calibri"/>
          <w:b/>
          <w:bCs/>
          <w:lang w:val="ru-RU"/>
        </w:rPr>
        <w:t>При</w:t>
      </w:r>
      <w:r w:rsidRPr="001C0378">
        <w:rPr>
          <w:rFonts w:ascii="Calibri" w:hAnsi="Calibri"/>
          <w:b/>
          <w:bCs/>
          <w:lang w:val="ru-RU"/>
        </w:rPr>
        <w:t>хода</w:t>
      </w:r>
      <w:r w:rsidR="00DE55FC" w:rsidRPr="001C0378">
        <w:rPr>
          <w:rFonts w:ascii="Calibri" w:hAnsi="Calibri"/>
          <w:b/>
          <w:bCs/>
          <w:lang w:val="ru-RU"/>
        </w:rPr>
        <w:t xml:space="preserve"> од камата на средства консолидованог рачуна трезора АП Војводине, као и по основу наплате </w:t>
      </w:r>
      <w:r w:rsidR="00D25D55" w:rsidRPr="001C0378">
        <w:rPr>
          <w:rFonts w:ascii="Calibri" w:hAnsi="Calibri"/>
          <w:b/>
          <w:bCs/>
          <w:lang w:val="ru-RU"/>
        </w:rPr>
        <w:t xml:space="preserve"> обавеза по кредитима</w:t>
      </w:r>
      <w:r w:rsidR="00D25D55" w:rsidRPr="001C0378">
        <w:rPr>
          <w:rFonts w:ascii="Calibri" w:hAnsi="Calibri"/>
          <w:lang w:val="ru-RU"/>
        </w:rPr>
        <w:t xml:space="preserve">, који се пласирају или се о наплати стара </w:t>
      </w:r>
      <w:r w:rsidR="00D25D55" w:rsidRPr="001C0378">
        <w:rPr>
          <w:rFonts w:ascii="Calibri" w:hAnsi="Calibri"/>
          <w:b/>
          <w:bCs/>
          <w:lang w:val="ru-RU"/>
        </w:rPr>
        <w:t>Развојни фонд АПВ</w:t>
      </w:r>
      <w:r w:rsidR="00D25D55" w:rsidRPr="001C0378">
        <w:rPr>
          <w:rFonts w:ascii="Calibri" w:hAnsi="Calibri"/>
          <w:lang w:val="ru-RU"/>
        </w:rPr>
        <w:t xml:space="preserve">, </w:t>
      </w:r>
      <w:r w:rsidRPr="001C0378">
        <w:rPr>
          <w:rFonts w:ascii="Calibri" w:hAnsi="Calibri"/>
          <w:lang w:val="ru-RU"/>
        </w:rPr>
        <w:t xml:space="preserve"> Смерницама је наведено да је </w:t>
      </w:r>
      <w:r w:rsidR="00DE55FC" w:rsidRPr="001C0378">
        <w:rPr>
          <w:rFonts w:ascii="Calibri" w:hAnsi="Calibri"/>
          <w:lang w:val="ru-RU"/>
        </w:rPr>
        <w:t xml:space="preserve"> односу на досадашње остварење</w:t>
      </w:r>
      <w:r w:rsidRPr="001C0378">
        <w:rPr>
          <w:rFonts w:ascii="Calibri" w:hAnsi="Calibri"/>
          <w:lang w:val="ru-RU"/>
        </w:rPr>
        <w:t xml:space="preserve">, исти могуће </w:t>
      </w:r>
      <w:r w:rsidR="00DE55FC" w:rsidRPr="001C0378">
        <w:rPr>
          <w:rFonts w:ascii="Calibri" w:hAnsi="Calibri"/>
          <w:lang w:val="ru-RU"/>
        </w:rPr>
        <w:t xml:space="preserve"> ревидирати за најмање 6,9 милиона динара. </w:t>
      </w:r>
      <w:r w:rsidRPr="001C0378">
        <w:rPr>
          <w:rFonts w:ascii="Calibri" w:hAnsi="Calibri"/>
          <w:lang w:val="ru-RU"/>
        </w:rPr>
        <w:t>Како је у међувремену</w:t>
      </w:r>
      <w:r w:rsidR="001C0378" w:rsidRPr="001C0378">
        <w:rPr>
          <w:rFonts w:ascii="Calibri" w:hAnsi="Calibri"/>
          <w:lang w:val="ru-RU"/>
        </w:rPr>
        <w:t xml:space="preserve">, </w:t>
      </w:r>
      <w:r w:rsidRPr="001C0378">
        <w:rPr>
          <w:rFonts w:ascii="Calibri" w:hAnsi="Calibri"/>
          <w:lang w:val="ru-RU"/>
        </w:rPr>
        <w:t xml:space="preserve"> на захтев Покрајинског секретаријата за финансије,  </w:t>
      </w:r>
      <w:r w:rsidR="00DE55FC" w:rsidRPr="001C0378">
        <w:rPr>
          <w:rFonts w:ascii="Calibri" w:hAnsi="Calibri"/>
          <w:lang w:val="ru-RU"/>
        </w:rPr>
        <w:t xml:space="preserve"> Развојн</w:t>
      </w:r>
      <w:r w:rsidRPr="001C0378">
        <w:rPr>
          <w:rFonts w:ascii="Calibri" w:hAnsi="Calibri"/>
          <w:lang w:val="ru-RU"/>
        </w:rPr>
        <w:t>и</w:t>
      </w:r>
      <w:r w:rsidR="00DE55FC" w:rsidRPr="001C0378">
        <w:rPr>
          <w:rFonts w:ascii="Calibri" w:hAnsi="Calibri"/>
          <w:lang w:val="ru-RU"/>
        </w:rPr>
        <w:t xml:space="preserve"> фонда АП Војводине </w:t>
      </w:r>
      <w:r w:rsidRPr="001C0378">
        <w:rPr>
          <w:rFonts w:ascii="Calibri" w:hAnsi="Calibri"/>
          <w:lang w:val="ru-RU"/>
        </w:rPr>
        <w:t xml:space="preserve">доставио нову пројекцију  оставрења средстава  по основу отплате кредита ( по основу отплате главнице дуга </w:t>
      </w:r>
      <w:r w:rsidR="001C0378" w:rsidRPr="001C0378">
        <w:rPr>
          <w:rFonts w:ascii="Calibri" w:hAnsi="Calibri"/>
          <w:lang w:val="ru-RU"/>
        </w:rPr>
        <w:t xml:space="preserve">, </w:t>
      </w:r>
      <w:r w:rsidRPr="001C0378">
        <w:rPr>
          <w:rFonts w:ascii="Calibri" w:hAnsi="Calibri"/>
          <w:lang w:val="ru-RU"/>
        </w:rPr>
        <w:t>по основу камата</w:t>
      </w:r>
      <w:r w:rsidR="001C0378" w:rsidRPr="001C0378">
        <w:rPr>
          <w:rFonts w:ascii="Calibri" w:hAnsi="Calibri"/>
          <w:lang w:val="ru-RU"/>
        </w:rPr>
        <w:t xml:space="preserve"> и других прихода</w:t>
      </w:r>
      <w:r w:rsidRPr="001C0378">
        <w:rPr>
          <w:rFonts w:ascii="Calibri" w:hAnsi="Calibri"/>
          <w:lang w:val="ru-RU"/>
        </w:rPr>
        <w:t xml:space="preserve">), ревидирана процена остварења прихода од камата и других прихода по основу наплате кредитних обавеза од Фонда могуће је повећати за </w:t>
      </w:r>
      <w:r w:rsidR="001C0378" w:rsidRPr="001C0378">
        <w:rPr>
          <w:rFonts w:ascii="Calibri" w:hAnsi="Calibri"/>
          <w:lang w:val="ru-RU"/>
        </w:rPr>
        <w:t xml:space="preserve">додатних 42,5 милиона динара, при чему је пројекција примања по основу отплате главнице дуга мања за 21,6 милиона динарау односу на пројекцију планирану актуелним покрајинским буџетом. </w:t>
      </w:r>
      <w:r w:rsidR="00D25D55" w:rsidRPr="001C0378">
        <w:rPr>
          <w:rFonts w:ascii="Calibri" w:hAnsi="Calibri"/>
          <w:lang w:val="ru-RU"/>
        </w:rPr>
        <w:t xml:space="preserve"> </w:t>
      </w:r>
    </w:p>
    <w:p w:rsidR="001C0378" w:rsidRDefault="001C0378" w:rsidP="00D40D39">
      <w:pPr>
        <w:pStyle w:val="Normal1"/>
        <w:ind w:left="-284" w:firstLine="284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Такође Смерницама, нису биле обухваћене  ни </w:t>
      </w:r>
      <w:r w:rsidRPr="001C0378">
        <w:rPr>
          <w:rFonts w:ascii="Calibri" w:hAnsi="Calibri"/>
          <w:lang w:val="ru-RU"/>
        </w:rPr>
        <w:t xml:space="preserve">промене у висини планираних прихода који се остварују по посебним законима, а који се у смислу прописа који уређују буџетски систем, не сматрају наменским приходима. </w:t>
      </w:r>
      <w:r>
        <w:rPr>
          <w:rFonts w:ascii="Calibri" w:hAnsi="Calibri"/>
          <w:lang w:val="ru-RU"/>
        </w:rPr>
        <w:t>У међувремену су на захтев Покрајинског секретаријата за финансије, директни буџетски корисници доставили р</w:t>
      </w:r>
      <w:r w:rsidRPr="001C0378">
        <w:rPr>
          <w:rFonts w:ascii="Calibri" w:hAnsi="Calibri"/>
          <w:lang w:val="ru-RU"/>
        </w:rPr>
        <w:t>евидирану процену остварења ових прихода</w:t>
      </w:r>
      <w:r>
        <w:rPr>
          <w:rFonts w:ascii="Calibri" w:hAnsi="Calibri"/>
          <w:lang w:val="ru-RU"/>
        </w:rPr>
        <w:t xml:space="preserve">, те је овим изменама и допунама иста укључена у износу повећања од </w:t>
      </w:r>
      <w:r w:rsidRPr="007D0A6A">
        <w:rPr>
          <w:rFonts w:ascii="Calibri" w:hAnsi="Calibri"/>
          <w:b/>
          <w:lang w:val="ru-RU"/>
        </w:rPr>
        <w:t>134,8 милиона</w:t>
      </w:r>
      <w:r>
        <w:rPr>
          <w:rFonts w:ascii="Calibri" w:hAnsi="Calibri"/>
          <w:lang w:val="ru-RU"/>
        </w:rPr>
        <w:t xml:space="preserve"> динара.  </w:t>
      </w:r>
    </w:p>
    <w:p w:rsidR="004751F9" w:rsidRPr="001C0378" w:rsidRDefault="004751F9" w:rsidP="00D40D39">
      <w:pPr>
        <w:pStyle w:val="Normal1"/>
        <w:ind w:left="-284"/>
        <w:jc w:val="both"/>
        <w:rPr>
          <w:rFonts w:ascii="Calibri" w:hAnsi="Calibri"/>
          <w:lang w:val="ru-RU"/>
        </w:rPr>
      </w:pPr>
      <w:r w:rsidRPr="001C0378">
        <w:rPr>
          <w:rFonts w:ascii="Calibri" w:hAnsi="Calibri"/>
          <w:lang w:val="ru-RU"/>
        </w:rPr>
        <w:t xml:space="preserve">Дакле, </w:t>
      </w:r>
      <w:r w:rsidR="001C0378" w:rsidRPr="001C0378">
        <w:rPr>
          <w:rFonts w:ascii="Calibri" w:hAnsi="Calibri"/>
          <w:lang w:val="ru-RU"/>
        </w:rPr>
        <w:t>накнадно укључене пројекције промене прихода, примања и пренетих средстава која је могуће распоредити ребалансом покрајинског буџета за ову годину, износе 20</w:t>
      </w:r>
      <w:r w:rsidR="005D2488">
        <w:rPr>
          <w:rFonts w:ascii="Calibri" w:hAnsi="Calibri"/>
          <w:lang w:val="ru-RU"/>
        </w:rPr>
        <w:t>4</w:t>
      </w:r>
      <w:r w:rsidR="001C0378" w:rsidRPr="001C0378">
        <w:rPr>
          <w:rFonts w:ascii="Calibri" w:hAnsi="Calibri"/>
          <w:lang w:val="ru-RU"/>
        </w:rPr>
        <w:t>,</w:t>
      </w:r>
      <w:r w:rsidR="005D2488">
        <w:rPr>
          <w:rFonts w:ascii="Calibri" w:hAnsi="Calibri"/>
          <w:lang w:val="ru-RU"/>
        </w:rPr>
        <w:t>4</w:t>
      </w:r>
      <w:r w:rsidR="001C0378" w:rsidRPr="001C0378">
        <w:rPr>
          <w:rFonts w:ascii="Calibri" w:hAnsi="Calibri"/>
          <w:lang w:val="ru-RU"/>
        </w:rPr>
        <w:t xml:space="preserve"> милиона динара, што омогућује усклађивање </w:t>
      </w:r>
      <w:r w:rsidR="00021522" w:rsidRPr="001C0378">
        <w:rPr>
          <w:rFonts w:ascii="Calibri" w:hAnsi="Calibri"/>
          <w:b/>
          <w:lang w:val="ru-RU"/>
        </w:rPr>
        <w:t xml:space="preserve">  </w:t>
      </w:r>
      <w:r w:rsidR="00021522" w:rsidRPr="001C0378">
        <w:rPr>
          <w:rFonts w:ascii="Calibri" w:hAnsi="Calibri"/>
          <w:lang w:val="ru-RU"/>
        </w:rPr>
        <w:t xml:space="preserve">покрајинског буџета за ову годину </w:t>
      </w:r>
      <w:r w:rsidR="00021522" w:rsidRPr="001C0378">
        <w:rPr>
          <w:rFonts w:ascii="Calibri" w:hAnsi="Calibri"/>
          <w:b/>
          <w:lang w:val="ru-RU"/>
        </w:rPr>
        <w:t>на вишем нивоу</w:t>
      </w:r>
      <w:r w:rsidR="00021522" w:rsidRPr="001C0378">
        <w:rPr>
          <w:rFonts w:ascii="Calibri" w:hAnsi="Calibri"/>
          <w:lang w:val="ru-RU"/>
        </w:rPr>
        <w:t xml:space="preserve"> за </w:t>
      </w:r>
      <w:r w:rsidRPr="001C0378">
        <w:rPr>
          <w:rFonts w:ascii="Calibri" w:hAnsi="Calibri"/>
          <w:b/>
          <w:lang w:val="ru-RU"/>
        </w:rPr>
        <w:t>2,</w:t>
      </w:r>
      <w:r w:rsidR="001C0378" w:rsidRPr="001C0378">
        <w:rPr>
          <w:rFonts w:ascii="Calibri" w:hAnsi="Calibri"/>
          <w:b/>
          <w:lang w:val="ru-RU"/>
        </w:rPr>
        <w:t>3</w:t>
      </w:r>
      <w:r w:rsidR="005D2488">
        <w:rPr>
          <w:rFonts w:ascii="Calibri" w:hAnsi="Calibri"/>
          <w:b/>
          <w:lang w:val="ru-RU"/>
        </w:rPr>
        <w:t>3</w:t>
      </w:r>
      <w:r w:rsidR="00021522" w:rsidRPr="001C0378">
        <w:rPr>
          <w:rFonts w:ascii="Calibri" w:hAnsi="Calibri"/>
          <w:b/>
          <w:lang w:val="ru-RU"/>
        </w:rPr>
        <w:t xml:space="preserve"> милијарди</w:t>
      </w:r>
      <w:r w:rsidR="00021522" w:rsidRPr="001C0378">
        <w:rPr>
          <w:rFonts w:ascii="Calibri" w:hAnsi="Calibri"/>
          <w:lang w:val="ru-RU"/>
        </w:rPr>
        <w:t xml:space="preserve"> динара</w:t>
      </w:r>
      <w:r w:rsidR="001C0378" w:rsidRPr="001C0378">
        <w:rPr>
          <w:rFonts w:ascii="Calibri" w:hAnsi="Calibri"/>
          <w:lang w:val="ru-RU"/>
        </w:rPr>
        <w:t xml:space="preserve">, уместо 2,12 милијарди динара како је то првобитним Смерницама пројектовано. </w:t>
      </w:r>
    </w:p>
    <w:p w:rsidR="004A7D72" w:rsidRDefault="004A7D72" w:rsidP="00D40D39">
      <w:pPr>
        <w:ind w:left="-284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5323FA" w:rsidRDefault="005323FA" w:rsidP="00D40D39">
      <w:pPr>
        <w:ind w:left="-284"/>
        <w:jc w:val="both"/>
        <w:rPr>
          <w:rFonts w:ascii="Calibri" w:hAnsi="Calibri" w:cs="Arial"/>
          <w:bCs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 делу Смерница </w:t>
      </w:r>
      <w:r w:rsidR="00DE33DB" w:rsidRPr="00D70B4A">
        <w:rPr>
          <w:rFonts w:ascii="Calibri" w:hAnsi="Calibri" w:cs="Arial"/>
          <w:b/>
          <w:bCs/>
          <w:sz w:val="22"/>
          <w:szCs w:val="22"/>
          <w:lang w:val="sr-Latn-CS"/>
        </w:rPr>
        <w:t xml:space="preserve">II </w:t>
      </w:r>
      <w:r w:rsidR="001B1426">
        <w:rPr>
          <w:rFonts w:ascii="Calibri" w:hAnsi="Calibri" w:cs="Arial"/>
          <w:b/>
          <w:bCs/>
          <w:sz w:val="22"/>
          <w:szCs w:val="22"/>
          <w:lang w:val="sr-Cyrl-RS"/>
        </w:rPr>
        <w:t>СМЕРНИЦЕ И ПОСТУПАК ИЗРАДЕ</w:t>
      </w:r>
      <w:r>
        <w:rPr>
          <w:rFonts w:ascii="Calibri" w:hAnsi="Calibri" w:cs="Arial"/>
          <w:b/>
          <w:bCs/>
          <w:sz w:val="22"/>
          <w:szCs w:val="22"/>
          <w:lang w:val="sr-Cyrl-RS"/>
        </w:rPr>
        <w:t xml:space="preserve">, </w:t>
      </w:r>
      <w:r w:rsidRPr="005323FA">
        <w:rPr>
          <w:rFonts w:ascii="Calibri" w:hAnsi="Calibri" w:cs="Arial"/>
          <w:bCs/>
          <w:sz w:val="22"/>
          <w:szCs w:val="22"/>
          <w:lang w:val="sr-Cyrl-RS"/>
        </w:rPr>
        <w:t>а на основу у међувремену прикупљених измењених и допуњених података,</w:t>
      </w:r>
      <w:r w:rsidR="001B1426" w:rsidRPr="005323FA">
        <w:rPr>
          <w:rFonts w:ascii="Calibri" w:hAnsi="Calibri" w:cs="Arial"/>
          <w:bCs/>
          <w:sz w:val="22"/>
          <w:szCs w:val="22"/>
          <w:lang w:val="sr-Cyrl-RS"/>
        </w:rPr>
        <w:t xml:space="preserve"> </w:t>
      </w:r>
      <w:r w:rsidRPr="005323FA">
        <w:rPr>
          <w:rFonts w:ascii="Calibri" w:hAnsi="Calibri" w:cs="Arial"/>
          <w:bCs/>
          <w:sz w:val="22"/>
          <w:szCs w:val="22"/>
          <w:lang w:val="sr-Cyrl-RS"/>
        </w:rPr>
        <w:t>мења се и допуњује и преглед промена прихода, примања и пренетих  средстава из ранијих година, које је по  изворима финансирања могуће укључити у измене и допуне распореда средстава путем ребалансирања актуелног буџета</w:t>
      </w:r>
      <w:r w:rsidR="007D0A6A">
        <w:rPr>
          <w:rFonts w:ascii="Calibri" w:hAnsi="Calibri" w:cs="Arial"/>
          <w:bCs/>
          <w:sz w:val="22"/>
          <w:szCs w:val="22"/>
          <w:lang w:val="sr-Cyrl-RS"/>
        </w:rPr>
        <w:t xml:space="preserve"> и то: </w:t>
      </w:r>
    </w:p>
    <w:p w:rsidR="00516161" w:rsidRPr="00516161" w:rsidRDefault="00516161" w:rsidP="00D40D39">
      <w:pPr>
        <w:ind w:left="-284"/>
        <w:jc w:val="both"/>
        <w:rPr>
          <w:rFonts w:ascii="Calibri" w:hAnsi="Calibri" w:cs="Arial"/>
          <w:bCs/>
          <w:sz w:val="22"/>
          <w:szCs w:val="22"/>
          <w:lang w:val="sr-Latn-RS"/>
        </w:rPr>
      </w:pPr>
    </w:p>
    <w:p w:rsidR="00DE33DB" w:rsidRPr="00D40D39" w:rsidRDefault="00FB7F16" w:rsidP="00FB7F16">
      <w:pPr>
        <w:ind w:firstLine="720"/>
        <w:jc w:val="right"/>
        <w:rPr>
          <w:rFonts w:ascii="Calibri" w:hAnsi="Calibri" w:cs="Arial"/>
          <w:i/>
          <w:sz w:val="22"/>
          <w:szCs w:val="22"/>
          <w:lang w:val="sr-Cyrl-CS"/>
        </w:rPr>
      </w:pPr>
      <w:r w:rsidRPr="00D40D39">
        <w:rPr>
          <w:rFonts w:ascii="Calibri" w:hAnsi="Calibri" w:cs="Arial"/>
          <w:i/>
          <w:sz w:val="22"/>
          <w:szCs w:val="22"/>
          <w:lang w:val="sr-Cyrl-CS"/>
        </w:rPr>
        <w:t>-у динарима-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3402"/>
        <w:gridCol w:w="1701"/>
        <w:gridCol w:w="1701"/>
        <w:gridCol w:w="1843"/>
      </w:tblGrid>
      <w:tr w:rsidR="005323FA" w:rsidRPr="0088507C" w:rsidTr="005323FA">
        <w:tc>
          <w:tcPr>
            <w:tcW w:w="568" w:type="dxa"/>
            <w:shd w:val="clear" w:color="auto" w:fill="auto"/>
            <w:vAlign w:val="center"/>
          </w:tcPr>
          <w:p w:rsidR="005323FA" w:rsidRPr="005323FA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5323FA">
              <w:rPr>
                <w:rFonts w:ascii="Calibri" w:hAnsi="Calibri" w:cs="Arial"/>
                <w:sz w:val="16"/>
                <w:szCs w:val="16"/>
                <w:lang w:val="sr-Cyrl-CS"/>
              </w:rPr>
              <w:t>Ред.број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323FA">
              <w:rPr>
                <w:rFonts w:ascii="Calibri" w:hAnsi="Calibri" w:cs="Arial"/>
                <w:sz w:val="16"/>
                <w:szCs w:val="16"/>
                <w:lang w:val="sr-Cyrl-CS"/>
              </w:rPr>
              <w:t>Шифра (ознака извора финансирања</w:t>
            </w: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Назив извора финансирања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3FA" w:rsidRPr="0088507C" w:rsidRDefault="00FB7F16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Пројекција Смернице од 28.4.2017. </w:t>
            </w:r>
            <w:r w:rsidR="005323FA"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:rsidR="005323FA" w:rsidRPr="0088507C" w:rsidRDefault="00FB7F16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Измена/допуна пројекција од 28.4.2017.</w:t>
            </w:r>
          </w:p>
        </w:tc>
        <w:tc>
          <w:tcPr>
            <w:tcW w:w="1843" w:type="dxa"/>
          </w:tcPr>
          <w:p w:rsidR="005323FA" w:rsidRPr="0088507C" w:rsidRDefault="00FB7F16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Ревидирана пројекција </w:t>
            </w:r>
            <w:r w:rsidR="007D0A6A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измена/допуна </w:t>
            </w:r>
          </w:p>
        </w:tc>
      </w:tr>
      <w:tr w:rsidR="005323FA" w:rsidRPr="0088507C" w:rsidTr="005323FA">
        <w:tc>
          <w:tcPr>
            <w:tcW w:w="568" w:type="dxa"/>
            <w:shd w:val="clear" w:color="auto" w:fill="auto"/>
            <w:vAlign w:val="center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01" w:type="dxa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3" w:type="dxa"/>
          </w:tcPr>
          <w:p w:rsidR="005323FA" w:rsidRPr="0088507C" w:rsidRDefault="005323FA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  <w:r w:rsidR="00FB7F16">
              <w:rPr>
                <w:rFonts w:ascii="Calibri" w:hAnsi="Calibri" w:cs="Arial"/>
                <w:sz w:val="22"/>
                <w:szCs w:val="22"/>
                <w:lang w:val="sr-Cyrl-CS"/>
              </w:rPr>
              <w:t>=5+4</w:t>
            </w:r>
          </w:p>
        </w:tc>
      </w:tr>
      <w:tr w:rsidR="002D0173" w:rsidRPr="007C2311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01 00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Приходи из буџета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bCs/>
                <w:color w:val="000000"/>
                <w:sz w:val="20"/>
                <w:szCs w:val="20"/>
              </w:rPr>
              <w:t>982.048.300,00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73" w:rsidRDefault="00090782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60.000.000,00</w:t>
            </w:r>
            <w:r w:rsidR="002D017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1.042.048.300,00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7C231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01 02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>Приходи из буџета –накнаде и други приходи</w:t>
            </w:r>
            <w:r w:rsidRPr="00D40D39">
              <w:rPr>
                <w:rFonts w:ascii="Calibri" w:hAnsi="Calibri" w:cs="Arial"/>
                <w:sz w:val="18"/>
                <w:szCs w:val="18"/>
                <w:lang w:val="ru-RU"/>
              </w:rPr>
              <w:t xml:space="preserve"> </w:t>
            </w: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по посебним законима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D40D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134.832.182,07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134.832.182,07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5323F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7C231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01 12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>Приходи из буџета-камате и други приходи по основу наплаћених потраживања Фонда за развој Аутономне покрајине Војводине и других потраживања по датим кредитима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D40D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</w:t>
            </w:r>
            <w:r w:rsidRPr="00D40D39">
              <w:rPr>
                <w:rFonts w:ascii="Calibri" w:hAnsi="Calibri"/>
                <w:color w:val="000000"/>
                <w:sz w:val="20"/>
                <w:szCs w:val="20"/>
              </w:rPr>
              <w:t>826</w:t>
            </w:r>
            <w:r w:rsidRPr="00D40D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</w:t>
            </w:r>
            <w:r w:rsidRPr="00D40D39">
              <w:rPr>
                <w:rFonts w:ascii="Calibri" w:hAnsi="Calibri"/>
                <w:color w:val="000000"/>
                <w:sz w:val="20"/>
                <w:szCs w:val="20"/>
              </w:rPr>
              <w:t>763,31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42.550.030,69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47.376.794,00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5323F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09 12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>Примања од продаје нефинансијске имовине-примања од продаје покретне имовине и непокретности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Pr="00D40D39" w:rsidRDefault="002D0173" w:rsidP="0009078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1.138.070,00 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1.138.070,00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CE643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12 05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>Примања од отплате датих кредита и продаје финансијске имовине-примања од наплаћених потраживања Фонда за развој Аутономне покрајине Војводине  и других потраживања, а  по основу отплате главнице дуга по датим кредитима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  <w:r w:rsidRPr="00D40D39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0,00</w:t>
            </w: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-21.631.352,00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-21.631.352,00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5323F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13 00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516161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Latn-R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Нераспоређени вишак прихода из ранијих година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color w:val="000000"/>
                <w:sz w:val="20"/>
                <w:szCs w:val="20"/>
              </w:rPr>
              <w:t xml:space="preserve">539.260.684,15 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-11.351.387,26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527.909.296,89</w:t>
            </w:r>
          </w:p>
        </w:tc>
      </w:tr>
      <w:tr w:rsidR="004A7D72" w:rsidRPr="0088507C" w:rsidTr="00EF4B5C">
        <w:tc>
          <w:tcPr>
            <w:tcW w:w="568" w:type="dxa"/>
            <w:shd w:val="clear" w:color="auto" w:fill="auto"/>
            <w:vAlign w:val="center"/>
          </w:tcPr>
          <w:p w:rsidR="004A7D72" w:rsidRPr="005323FA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5323FA">
              <w:rPr>
                <w:rFonts w:ascii="Calibri" w:hAnsi="Calibri" w:cs="Arial"/>
                <w:sz w:val="16"/>
                <w:szCs w:val="16"/>
                <w:lang w:val="sr-Cyrl-CS"/>
              </w:rPr>
              <w:lastRenderedPageBreak/>
              <w:t>Ред.број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323FA">
              <w:rPr>
                <w:rFonts w:ascii="Calibri" w:hAnsi="Calibri" w:cs="Arial"/>
                <w:sz w:val="16"/>
                <w:szCs w:val="16"/>
                <w:lang w:val="sr-Cyrl-CS"/>
              </w:rPr>
              <w:t>Шифра (ознака извора финансирања</w:t>
            </w: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Назив извора финансирања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Пројекција Смернице од 28.4.2017. </w:t>
            </w: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01" w:type="dxa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Измена/допуна пројекција од 28.4.2017.</w:t>
            </w:r>
          </w:p>
        </w:tc>
        <w:tc>
          <w:tcPr>
            <w:tcW w:w="1843" w:type="dxa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Ревидирана пројекција </w:t>
            </w:r>
          </w:p>
        </w:tc>
      </w:tr>
      <w:tr w:rsidR="004A7D72" w:rsidRPr="0088507C" w:rsidTr="00EF4B5C">
        <w:tc>
          <w:tcPr>
            <w:tcW w:w="568" w:type="dxa"/>
            <w:shd w:val="clear" w:color="auto" w:fill="auto"/>
            <w:vAlign w:val="center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8507C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01" w:type="dxa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3" w:type="dxa"/>
          </w:tcPr>
          <w:p w:rsidR="004A7D72" w:rsidRPr="0088507C" w:rsidRDefault="004A7D72" w:rsidP="00EF4B5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6=5+4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5323F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13 02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>Нераспоређени вишак прихода из ранијих година- накнаде и други приходи остварени по посебним законима као наменски приходи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bCs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512.933.564,28 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512.933.564,28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5323F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13 12</w:t>
            </w:r>
          </w:p>
        </w:tc>
        <w:tc>
          <w:tcPr>
            <w:tcW w:w="3402" w:type="dxa"/>
            <w:shd w:val="clear" w:color="auto" w:fill="auto"/>
          </w:tcPr>
          <w:p w:rsidR="002D0173" w:rsidRPr="00D40D39" w:rsidRDefault="002D0173" w:rsidP="00641965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Нераспоређени вишак прихода из ранијих година-средства од наплаћених потраживања Фонда за развој Аутономне покрајине Војводине и других потраживања по датим кредитима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color w:val="000000"/>
                <w:sz w:val="20"/>
                <w:szCs w:val="20"/>
              </w:rPr>
              <w:t xml:space="preserve">17.816.108,21 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17.816.108,21</w:t>
            </w:r>
          </w:p>
        </w:tc>
      </w:tr>
      <w:tr w:rsidR="002D0173" w:rsidRPr="0088507C" w:rsidTr="00090782">
        <w:tc>
          <w:tcPr>
            <w:tcW w:w="568" w:type="dxa"/>
            <w:shd w:val="clear" w:color="auto" w:fill="auto"/>
            <w:vAlign w:val="center"/>
          </w:tcPr>
          <w:p w:rsidR="002D0173" w:rsidRPr="005323FA" w:rsidRDefault="002D0173" w:rsidP="00CE643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sz w:val="18"/>
                <w:szCs w:val="18"/>
                <w:lang w:val="sr-Cyrl-CS"/>
              </w:rPr>
              <w:t>14 00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173" w:rsidRPr="00D40D39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40D39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Неутрошена средства од приватизације из ранијих година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</w:pPr>
          </w:p>
          <w:p w:rsidR="002D0173" w:rsidRPr="00D40D39" w:rsidRDefault="002D0173" w:rsidP="0009078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0D39">
              <w:rPr>
                <w:rFonts w:ascii="Calibri" w:hAnsi="Calibri"/>
                <w:color w:val="000000"/>
                <w:sz w:val="20"/>
                <w:szCs w:val="20"/>
              </w:rPr>
              <w:t xml:space="preserve">64.468.323,02 </w:t>
            </w:r>
          </w:p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64.468.323,02</w:t>
            </w:r>
          </w:p>
        </w:tc>
      </w:tr>
      <w:tr w:rsidR="002D0173" w:rsidRPr="0088507C" w:rsidTr="00090782">
        <w:trPr>
          <w:trHeight w:val="561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2D0173" w:rsidRPr="005323FA" w:rsidRDefault="002D0173" w:rsidP="0088507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  <w:lang w:val="sr-Cyrl-CS"/>
              </w:rPr>
            </w:pPr>
            <w:r w:rsidRPr="005323FA">
              <w:rPr>
                <w:rFonts w:ascii="Calibri" w:hAnsi="Calibri" w:cs="Arial"/>
                <w:b/>
                <w:sz w:val="18"/>
                <w:szCs w:val="18"/>
                <w:lang w:val="sr-Cyrl-CS"/>
              </w:rPr>
              <w:t xml:space="preserve">УКУПНО: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173" w:rsidRPr="00D40D39" w:rsidRDefault="002D0173" w:rsidP="00090782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D40D39">
              <w:rPr>
                <w:rFonts w:ascii="Calibri" w:hAnsi="Calibri"/>
                <w:b/>
                <w:color w:val="000000"/>
                <w:sz w:val="20"/>
                <w:szCs w:val="20"/>
              </w:rPr>
              <w:t>2.122.491.812,97</w:t>
            </w:r>
          </w:p>
        </w:tc>
        <w:tc>
          <w:tcPr>
            <w:tcW w:w="1701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144.399.473,50</w:t>
            </w:r>
          </w:p>
        </w:tc>
        <w:tc>
          <w:tcPr>
            <w:tcW w:w="1843" w:type="dxa"/>
            <w:vAlign w:val="center"/>
          </w:tcPr>
          <w:p w:rsidR="002D0173" w:rsidRDefault="002D0173" w:rsidP="00090782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2.326.891.286,47</w:t>
            </w:r>
          </w:p>
        </w:tc>
      </w:tr>
    </w:tbl>
    <w:p w:rsidR="00DE33DB" w:rsidRPr="00D70B4A" w:rsidRDefault="00DE33DB" w:rsidP="00DE33DB">
      <w:pPr>
        <w:tabs>
          <w:tab w:val="left" w:pos="720"/>
        </w:tabs>
        <w:ind w:firstLine="720"/>
        <w:jc w:val="both"/>
        <w:rPr>
          <w:rFonts w:ascii="Calibri" w:hAnsi="Calibri"/>
          <w:bCs/>
          <w:color w:val="000000"/>
          <w:sz w:val="22"/>
          <w:szCs w:val="22"/>
          <w:lang w:val="sr-Cyrl-CS"/>
        </w:rPr>
      </w:pPr>
    </w:p>
    <w:p w:rsidR="00FB7F16" w:rsidRDefault="00FB7F16" w:rsidP="0044222C">
      <w:pPr>
        <w:tabs>
          <w:tab w:val="left" w:pos="720"/>
        </w:tabs>
        <w:jc w:val="both"/>
        <w:rPr>
          <w:rFonts w:ascii="Calibri" w:hAnsi="Calibri"/>
          <w:b/>
          <w:bCs/>
          <w:color w:val="000000"/>
          <w:sz w:val="22"/>
          <w:szCs w:val="22"/>
          <w:lang w:val="sr-Cyrl-CS"/>
        </w:rPr>
      </w:pPr>
    </w:p>
    <w:p w:rsidR="005B2BD8" w:rsidRDefault="00FB7F16" w:rsidP="00FB7F16">
      <w:p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sr-Cyrl-CS"/>
        </w:rPr>
      </w:pPr>
      <w:r>
        <w:rPr>
          <w:rFonts w:ascii="Calibri" w:hAnsi="Calibri"/>
          <w:bCs/>
          <w:color w:val="000000"/>
          <w:sz w:val="22"/>
          <w:szCs w:val="22"/>
          <w:lang w:val="sr-Cyrl-CS"/>
        </w:rPr>
        <w:t>Напомене дате Смерницама везано за р</w:t>
      </w:r>
      <w:r>
        <w:rPr>
          <w:rFonts w:ascii="Calibri" w:hAnsi="Calibri" w:cs="Arial"/>
          <w:bCs/>
          <w:sz w:val="22"/>
          <w:szCs w:val="22"/>
          <w:lang w:val="sr-Cyrl-CS"/>
        </w:rPr>
        <w:t>асходе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и изда</w:t>
      </w:r>
      <w:r>
        <w:rPr>
          <w:rFonts w:ascii="Calibri" w:hAnsi="Calibri" w:cs="Arial"/>
          <w:bCs/>
          <w:sz w:val="22"/>
          <w:szCs w:val="22"/>
          <w:lang w:val="sr-Cyrl-CS"/>
        </w:rPr>
        <w:t xml:space="preserve">тке 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из </w:t>
      </w:r>
      <w:r w:rsidR="006D7FE1" w:rsidRPr="00DD18B4">
        <w:rPr>
          <w:rFonts w:ascii="Calibri" w:hAnsi="Calibri" w:cs="Arial"/>
          <w:b/>
          <w:bCs/>
          <w:sz w:val="22"/>
          <w:szCs w:val="22"/>
          <w:lang w:val="sr-Cyrl-CS"/>
        </w:rPr>
        <w:t>донаторских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 прихода, </w:t>
      </w:r>
      <w:r w:rsidR="006D7FE1" w:rsidRPr="00DD18B4">
        <w:rPr>
          <w:rFonts w:ascii="Calibri" w:hAnsi="Calibri" w:cs="Arial"/>
          <w:b/>
          <w:bCs/>
          <w:sz w:val="22"/>
          <w:szCs w:val="22"/>
          <w:lang w:val="sr-Cyrl-CS"/>
        </w:rPr>
        <w:t>трансферних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средстава и сл. </w:t>
      </w:r>
      <w:r>
        <w:rPr>
          <w:rFonts w:ascii="Calibri" w:hAnsi="Calibri" w:cs="Arial"/>
          <w:bCs/>
          <w:sz w:val="22"/>
          <w:szCs w:val="22"/>
          <w:lang w:val="sr-Cyrl-CS"/>
        </w:rPr>
        <w:t xml:space="preserve">остају,  обзиром да нису обухваћене овом пројекцијом, те их дакле  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можете кориговати у погледу висине и распореда </w:t>
      </w:r>
      <w:r w:rsidR="006D7FE1" w:rsidRPr="00DD18B4">
        <w:rPr>
          <w:rFonts w:ascii="Calibri" w:hAnsi="Calibri" w:cs="Arial"/>
          <w:b/>
          <w:bCs/>
          <w:sz w:val="22"/>
          <w:szCs w:val="22"/>
          <w:lang w:val="sr-Cyrl-CS"/>
        </w:rPr>
        <w:t>на основу прописа или других аката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(уговор, споразум и др.),  а  из других прихода које остварујете сопственом активношћу или  употребом јавних средстава</w:t>
      </w:r>
      <w:r>
        <w:rPr>
          <w:rFonts w:ascii="Calibri" w:hAnsi="Calibri" w:cs="Arial"/>
          <w:bCs/>
          <w:sz w:val="22"/>
          <w:szCs w:val="22"/>
          <w:lang w:val="sr-Cyrl-CS"/>
        </w:rPr>
        <w:t xml:space="preserve">, 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 </w:t>
      </w:r>
      <w:r w:rsidR="006D7FE1" w:rsidRPr="00DD18B4">
        <w:rPr>
          <w:rFonts w:ascii="Calibri" w:hAnsi="Calibri" w:cs="Arial"/>
          <w:b/>
          <w:bCs/>
          <w:sz w:val="22"/>
          <w:szCs w:val="22"/>
          <w:lang w:val="sr-Cyrl-CS"/>
        </w:rPr>
        <w:t>према  пројекцијама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остварења ових прихода</w:t>
      </w:r>
      <w:r w:rsidR="00B3053D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/примања </w:t>
      </w:r>
      <w:r w:rsidR="006D7FE1" w:rsidRPr="00DD18B4">
        <w:rPr>
          <w:rFonts w:ascii="Calibri" w:hAnsi="Calibri" w:cs="Arial"/>
          <w:bCs/>
          <w:sz w:val="22"/>
          <w:szCs w:val="22"/>
          <w:lang w:val="sr-Cyrl-CS"/>
        </w:rPr>
        <w:t xml:space="preserve">  уз образложење. </w:t>
      </w:r>
    </w:p>
    <w:p w:rsidR="005B2BD8" w:rsidRDefault="005B2BD8" w:rsidP="00FB7F16">
      <w:p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sr-Cyrl-CS"/>
        </w:rPr>
      </w:pPr>
    </w:p>
    <w:p w:rsidR="006D7FE1" w:rsidRPr="00DD18B4" w:rsidRDefault="006D7FE1" w:rsidP="005B2BD8">
      <w:pPr>
        <w:tabs>
          <w:tab w:val="left" w:pos="720"/>
        </w:tabs>
        <w:jc w:val="both"/>
        <w:rPr>
          <w:rFonts w:ascii="Calibri" w:hAnsi="Calibri" w:cs="Arial"/>
          <w:bCs/>
          <w:sz w:val="22"/>
          <w:szCs w:val="22"/>
          <w:lang w:val="sr-Cyrl-CS"/>
        </w:rPr>
      </w:pPr>
    </w:p>
    <w:p w:rsidR="00633014" w:rsidRDefault="009F1FCC" w:rsidP="00633014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 xml:space="preserve">Смерницама није био </w:t>
      </w:r>
      <w:r w:rsidR="00B3053D" w:rsidRPr="00DD18B4">
        <w:rPr>
          <w:rFonts w:ascii="Calibri" w:hAnsi="Calibri" w:cs="Arial"/>
          <w:b/>
          <w:sz w:val="22"/>
          <w:szCs w:val="22"/>
          <w:lang w:val="sr-Cyrl-CS"/>
        </w:rPr>
        <w:t xml:space="preserve"> утврђен  износ промена</w:t>
      </w:r>
      <w:r w:rsidR="00DD18B4">
        <w:rPr>
          <w:rFonts w:ascii="Calibri" w:hAnsi="Calibri" w:cs="Arial"/>
          <w:b/>
          <w:sz w:val="22"/>
          <w:szCs w:val="22"/>
          <w:lang w:val="sr-Cyrl-CS"/>
        </w:rPr>
        <w:t xml:space="preserve"> (лимита)</w:t>
      </w:r>
      <w:r w:rsidR="00B3053D" w:rsidRPr="00DD18B4">
        <w:rPr>
          <w:rFonts w:ascii="Calibri" w:hAnsi="Calibri" w:cs="Arial"/>
          <w:b/>
          <w:sz w:val="22"/>
          <w:szCs w:val="22"/>
          <w:lang w:val="sr-Cyrl-CS"/>
        </w:rPr>
        <w:t xml:space="preserve">  по корисницима</w:t>
      </w:r>
      <w:r w:rsidR="002B5174" w:rsidRPr="007F4109">
        <w:rPr>
          <w:rFonts w:ascii="Calibri" w:hAnsi="Calibri" w:cs="Arial"/>
          <w:sz w:val="22"/>
          <w:szCs w:val="22"/>
          <w:lang w:val="sr-Cyrl-CS"/>
        </w:rPr>
        <w:t>, а</w:t>
      </w:r>
      <w:r>
        <w:rPr>
          <w:rFonts w:ascii="Calibri" w:hAnsi="Calibri" w:cs="Arial"/>
          <w:sz w:val="22"/>
          <w:szCs w:val="22"/>
          <w:lang w:val="sr-Cyrl-CS"/>
        </w:rPr>
        <w:t xml:space="preserve">ли је наведено да ће се </w:t>
      </w:r>
      <w:r w:rsidR="002B5174" w:rsidRPr="007F4109">
        <w:rPr>
          <w:rFonts w:ascii="Calibri" w:hAnsi="Calibri" w:cs="Arial"/>
          <w:sz w:val="22"/>
          <w:szCs w:val="22"/>
          <w:lang w:val="sr-Cyrl-CS"/>
        </w:rPr>
        <w:t xml:space="preserve"> исти </w:t>
      </w:r>
      <w:r>
        <w:rPr>
          <w:rFonts w:ascii="Calibri" w:hAnsi="Calibri" w:cs="Arial"/>
          <w:sz w:val="22"/>
          <w:szCs w:val="22"/>
          <w:lang w:val="sr-Cyrl-CS"/>
        </w:rPr>
        <w:t xml:space="preserve">утврдити у процесу усклађивања приоритета, у смислу </w:t>
      </w:r>
      <w:r w:rsidR="002B5174" w:rsidRPr="007F4109">
        <w:rPr>
          <w:rFonts w:ascii="Calibri" w:hAnsi="Calibri" w:cs="Arial"/>
          <w:sz w:val="22"/>
          <w:szCs w:val="22"/>
          <w:lang w:val="sr-Cyrl-CS"/>
        </w:rPr>
        <w:t>усклађивања захтева са могућностима финансирања</w:t>
      </w:r>
      <w:r>
        <w:rPr>
          <w:rFonts w:ascii="Calibri" w:hAnsi="Calibri" w:cs="Arial"/>
          <w:sz w:val="22"/>
          <w:szCs w:val="22"/>
          <w:lang w:val="sr-Cyrl-CS"/>
        </w:rPr>
        <w:t>.</w:t>
      </w:r>
      <w:r w:rsidR="00633014">
        <w:rPr>
          <w:rFonts w:ascii="Calibri" w:hAnsi="Calibri" w:cs="Arial"/>
          <w:sz w:val="22"/>
          <w:szCs w:val="22"/>
          <w:lang w:val="sr-Cyrl-CS"/>
        </w:rPr>
        <w:t xml:space="preserve"> Такође Смерницама је </w:t>
      </w:r>
      <w:r w:rsidR="00F50978">
        <w:rPr>
          <w:rFonts w:ascii="Calibri" w:hAnsi="Calibri" w:cs="Arial"/>
          <w:sz w:val="22"/>
          <w:szCs w:val="22"/>
          <w:lang w:val="sr-Cyrl-CS"/>
        </w:rPr>
        <w:t xml:space="preserve">између осталог </w:t>
      </w:r>
      <w:r w:rsidR="00633014">
        <w:rPr>
          <w:rFonts w:ascii="Calibri" w:hAnsi="Calibri" w:cs="Arial"/>
          <w:sz w:val="22"/>
          <w:szCs w:val="22"/>
          <w:lang w:val="sr-Cyrl-CS"/>
        </w:rPr>
        <w:t xml:space="preserve">наведено  </w:t>
      </w:r>
      <w:r w:rsidR="00F50978">
        <w:rPr>
          <w:rFonts w:ascii="Calibri" w:hAnsi="Calibri" w:cs="Arial"/>
          <w:sz w:val="22"/>
          <w:szCs w:val="22"/>
          <w:lang w:val="sr-Cyrl-CS"/>
        </w:rPr>
        <w:t xml:space="preserve">да ће </w:t>
      </w:r>
      <w:r w:rsidR="00633014">
        <w:rPr>
          <w:rFonts w:ascii="Calibri" w:hAnsi="Calibri" w:cs="Arial"/>
          <w:sz w:val="22"/>
          <w:szCs w:val="22"/>
          <w:lang w:val="sr-Cyrl-CS"/>
        </w:rPr>
        <w:t xml:space="preserve"> степен спремности и могућност реализације, јасни и мерљиви ефекти и резултати очекиваних улагања </w:t>
      </w:r>
      <w:r w:rsidR="00F50978">
        <w:rPr>
          <w:rFonts w:ascii="Calibri" w:hAnsi="Calibri" w:cs="Arial"/>
          <w:sz w:val="22"/>
          <w:szCs w:val="22"/>
          <w:lang w:val="sr-Cyrl-CS"/>
        </w:rPr>
        <w:t xml:space="preserve">бити једна од битних </w:t>
      </w:r>
      <w:r w:rsidR="00633014">
        <w:rPr>
          <w:rFonts w:ascii="Calibri" w:hAnsi="Calibri" w:cs="Arial"/>
          <w:sz w:val="22"/>
          <w:szCs w:val="22"/>
          <w:lang w:val="sr-Cyrl-CS"/>
        </w:rPr>
        <w:t xml:space="preserve"> полазн</w:t>
      </w:r>
      <w:r w:rsidR="00F50978">
        <w:rPr>
          <w:rFonts w:ascii="Calibri" w:hAnsi="Calibri" w:cs="Arial"/>
          <w:sz w:val="22"/>
          <w:szCs w:val="22"/>
          <w:lang w:val="sr-Cyrl-CS"/>
        </w:rPr>
        <w:t>их</w:t>
      </w:r>
      <w:r w:rsidR="00633014">
        <w:rPr>
          <w:rFonts w:ascii="Calibri" w:hAnsi="Calibri" w:cs="Arial"/>
          <w:sz w:val="22"/>
          <w:szCs w:val="22"/>
          <w:lang w:val="sr-Cyrl-CS"/>
        </w:rPr>
        <w:t xml:space="preserve"> основа за утврђивање приоритета у расподели повећаног обима средстава путем ребаланса. </w:t>
      </w:r>
    </w:p>
    <w:p w:rsidR="00DE33DB" w:rsidRDefault="009F1FCC" w:rsidP="00273D21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F50978" w:rsidRDefault="00F50978" w:rsidP="00273D21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Овим смерницама, а на основу одржаних буџетских конференција, на којима су усглашавани приоритети у смислу расподеле повећаног обима средстава путем ребаланса актуелног покрајинског буџета, у наставку су утврђени лимити средстава по директним буџетским корисницима и  изворима финансирања</w:t>
      </w:r>
      <w:r w:rsidR="005B2BD8">
        <w:rPr>
          <w:rFonts w:ascii="Calibri" w:hAnsi="Calibri" w:cs="Arial"/>
          <w:sz w:val="22"/>
          <w:szCs w:val="22"/>
          <w:lang w:val="sr-Cyrl-CS"/>
        </w:rPr>
        <w:t>, уз напомену да у поступку израде ребаланса буџета, Покрајински секретаријат за финансије може извршити реалокацију у смислу извора финансирања (не умањујући укупан обима средстава), а у зависности од планиране динамике улагања,</w:t>
      </w:r>
      <w:r w:rsidR="001A2685">
        <w:rPr>
          <w:rFonts w:ascii="Calibri" w:hAnsi="Calibri" w:cs="Arial"/>
          <w:sz w:val="22"/>
          <w:szCs w:val="22"/>
          <w:lang w:val="sr-Cyrl-CS"/>
        </w:rPr>
        <w:t xml:space="preserve"> плаћања, односно извршавања обавеза, односно у ситуацијама у којима динамички планови реализације захтевају да се обезбеде </w:t>
      </w:r>
      <w:r w:rsidR="005B2BD8">
        <w:rPr>
          <w:rFonts w:ascii="Calibri" w:hAnsi="Calibri" w:cs="Arial"/>
          <w:sz w:val="22"/>
          <w:szCs w:val="22"/>
          <w:lang w:val="sr-Cyrl-CS"/>
        </w:rPr>
        <w:t>ликвидн</w:t>
      </w:r>
      <w:r w:rsidR="001A2685">
        <w:rPr>
          <w:rFonts w:ascii="Calibri" w:hAnsi="Calibri" w:cs="Arial"/>
          <w:sz w:val="22"/>
          <w:szCs w:val="22"/>
          <w:lang w:val="sr-Cyrl-CS"/>
        </w:rPr>
        <w:t>а</w:t>
      </w:r>
      <w:r w:rsidR="005B2BD8">
        <w:rPr>
          <w:rFonts w:ascii="Calibri" w:hAnsi="Calibri" w:cs="Arial"/>
          <w:sz w:val="22"/>
          <w:szCs w:val="22"/>
          <w:lang w:val="sr-Cyrl-CS"/>
        </w:rPr>
        <w:t xml:space="preserve"> (расположив</w:t>
      </w:r>
      <w:r w:rsidR="001A2685">
        <w:rPr>
          <w:rFonts w:ascii="Calibri" w:hAnsi="Calibri" w:cs="Arial"/>
          <w:sz w:val="22"/>
          <w:szCs w:val="22"/>
          <w:lang w:val="sr-Cyrl-CS"/>
        </w:rPr>
        <w:t>а</w:t>
      </w:r>
      <w:r w:rsidR="005B2BD8">
        <w:rPr>
          <w:rFonts w:ascii="Calibri" w:hAnsi="Calibri" w:cs="Arial"/>
          <w:sz w:val="22"/>
          <w:szCs w:val="22"/>
          <w:lang w:val="sr-Cyrl-CS"/>
        </w:rPr>
        <w:t>) средстава</w:t>
      </w:r>
      <w:r w:rsidR="001A2685">
        <w:rPr>
          <w:rFonts w:ascii="Calibri" w:hAnsi="Calibri" w:cs="Arial"/>
          <w:sz w:val="22"/>
          <w:szCs w:val="22"/>
          <w:lang w:val="sr-Cyrl-CS"/>
        </w:rPr>
        <w:t xml:space="preserve">. </w:t>
      </w:r>
    </w:p>
    <w:p w:rsidR="00BD765D" w:rsidRDefault="00BD765D" w:rsidP="003A2B2C">
      <w:pPr>
        <w:pStyle w:val="ListParagraph"/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F50978" w:rsidRDefault="00F50978" w:rsidP="007766EE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F50978" w:rsidRDefault="00F50978" w:rsidP="007766EE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F50978" w:rsidRDefault="00F50978" w:rsidP="007766EE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F50978" w:rsidRDefault="00F50978" w:rsidP="007766EE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BD765D" w:rsidRPr="00BD765D" w:rsidRDefault="00BD765D" w:rsidP="00BD765D">
      <w:pPr>
        <w:pStyle w:val="BodyText"/>
        <w:outlineLvl w:val="0"/>
        <w:rPr>
          <w:rFonts w:ascii="Calibri" w:hAnsi="Calibri"/>
          <w:sz w:val="22"/>
          <w:szCs w:val="22"/>
        </w:rPr>
        <w:sectPr w:rsidR="00BD765D" w:rsidRPr="00BD765D" w:rsidSect="007410F6">
          <w:footerReference w:type="even" r:id="rId10"/>
          <w:footerReference w:type="default" r:id="rId11"/>
          <w:pgSz w:w="11905" w:h="16837"/>
          <w:pgMar w:top="539" w:right="794" w:bottom="1440" w:left="1021" w:header="720" w:footer="720" w:gutter="0"/>
          <w:cols w:space="60"/>
          <w:noEndnote/>
          <w:titlePg/>
        </w:sectPr>
      </w:pPr>
    </w:p>
    <w:p w:rsidR="00090782" w:rsidRDefault="007766EE" w:rsidP="007766EE">
      <w:pPr>
        <w:pStyle w:val="BodyText"/>
        <w:outlineLvl w:val="0"/>
        <w:rPr>
          <w:rFonts w:ascii="Calibri" w:hAnsi="Calibri"/>
          <w:sz w:val="22"/>
          <w:szCs w:val="22"/>
        </w:rPr>
      </w:pPr>
      <w:proofErr w:type="spellStart"/>
      <w:proofErr w:type="gramStart"/>
      <w:r w:rsidRPr="004316F3">
        <w:rPr>
          <w:rFonts w:ascii="Calibri" w:hAnsi="Calibri"/>
          <w:sz w:val="22"/>
          <w:szCs w:val="22"/>
        </w:rPr>
        <w:lastRenderedPageBreak/>
        <w:t>Табела</w:t>
      </w:r>
      <w:proofErr w:type="spellEnd"/>
      <w:r w:rsidRPr="004316F3">
        <w:rPr>
          <w:rFonts w:ascii="Calibri" w:hAnsi="Calibri"/>
          <w:sz w:val="22"/>
          <w:szCs w:val="22"/>
        </w:rPr>
        <w:t xml:space="preserve"> 1.</w:t>
      </w:r>
      <w:proofErr w:type="gram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Обим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 xml:space="preserve">промене </w:t>
      </w:r>
      <w:proofErr w:type="spellStart"/>
      <w:r w:rsidRPr="004316F3">
        <w:rPr>
          <w:rFonts w:ascii="Calibri" w:hAnsi="Calibri"/>
          <w:sz w:val="22"/>
          <w:szCs w:val="22"/>
        </w:rPr>
        <w:t>средстава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који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може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да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садржи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предлог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 xml:space="preserve">измена и допуна </w:t>
      </w:r>
      <w:proofErr w:type="gramStart"/>
      <w:r>
        <w:rPr>
          <w:rFonts w:ascii="Calibri" w:hAnsi="Calibri"/>
          <w:sz w:val="22"/>
          <w:szCs w:val="22"/>
          <w:lang w:val="sr-Cyrl-RS"/>
        </w:rPr>
        <w:t xml:space="preserve">фиансијског  </w:t>
      </w:r>
      <w:proofErr w:type="spellStart"/>
      <w:r w:rsidRPr="004316F3">
        <w:rPr>
          <w:rFonts w:ascii="Calibri" w:hAnsi="Calibri"/>
          <w:sz w:val="22"/>
          <w:szCs w:val="22"/>
        </w:rPr>
        <w:t>плана</w:t>
      </w:r>
      <w:proofErr w:type="spellEnd"/>
      <w:proofErr w:type="gram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директног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корисника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средстава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буџета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Аутономне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Покрајине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Војводине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за</w:t>
      </w:r>
      <w:proofErr w:type="spellEnd"/>
      <w:r w:rsidRPr="004316F3">
        <w:rPr>
          <w:rFonts w:ascii="Calibri" w:hAnsi="Calibri"/>
          <w:sz w:val="22"/>
          <w:szCs w:val="22"/>
        </w:rPr>
        <w:t xml:space="preserve"> 201</w:t>
      </w:r>
      <w:r>
        <w:rPr>
          <w:rFonts w:ascii="Calibri" w:hAnsi="Calibri"/>
          <w:sz w:val="22"/>
          <w:szCs w:val="22"/>
        </w:rPr>
        <w:t>7</w:t>
      </w:r>
      <w:r w:rsidRPr="004316F3">
        <w:rPr>
          <w:rFonts w:ascii="Calibri" w:hAnsi="Calibri"/>
          <w:sz w:val="22"/>
          <w:szCs w:val="22"/>
        </w:rPr>
        <w:t xml:space="preserve">. </w:t>
      </w:r>
      <w:proofErr w:type="spellStart"/>
      <w:proofErr w:type="gramStart"/>
      <w:r w:rsidRPr="004316F3">
        <w:rPr>
          <w:rFonts w:ascii="Calibri" w:hAnsi="Calibri"/>
          <w:sz w:val="22"/>
          <w:szCs w:val="22"/>
        </w:rPr>
        <w:t>годину</w:t>
      </w:r>
      <w:proofErr w:type="spellEnd"/>
      <w:proofErr w:type="gramEnd"/>
      <w:r>
        <w:rPr>
          <w:rFonts w:ascii="Calibri" w:hAnsi="Calibri"/>
          <w:sz w:val="22"/>
          <w:szCs w:val="22"/>
          <w:lang w:val="sr-Cyrl-RS"/>
        </w:rPr>
        <w:t xml:space="preserve"> (у смислу </w:t>
      </w:r>
      <w:r w:rsidRPr="001A2685">
        <w:rPr>
          <w:rFonts w:ascii="Calibri" w:hAnsi="Calibri"/>
          <w:sz w:val="22"/>
          <w:szCs w:val="22"/>
          <w:u w:val="single"/>
          <w:lang w:val="sr-Cyrl-RS"/>
        </w:rPr>
        <w:t>максималног</w:t>
      </w:r>
      <w:r>
        <w:rPr>
          <w:rFonts w:ascii="Calibri" w:hAnsi="Calibri"/>
          <w:sz w:val="22"/>
          <w:szCs w:val="22"/>
          <w:lang w:val="sr-Cyrl-RS"/>
        </w:rPr>
        <w:t xml:space="preserve"> износа повећања) </w:t>
      </w:r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из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 xml:space="preserve"> следећих </w:t>
      </w:r>
      <w:proofErr w:type="spellStart"/>
      <w:r w:rsidRPr="004316F3">
        <w:rPr>
          <w:rFonts w:ascii="Calibri" w:hAnsi="Calibri"/>
          <w:sz w:val="22"/>
          <w:szCs w:val="22"/>
        </w:rPr>
        <w:t>извора</w:t>
      </w:r>
      <w:proofErr w:type="spellEnd"/>
      <w:r w:rsidRPr="004316F3">
        <w:rPr>
          <w:rFonts w:ascii="Calibri" w:hAnsi="Calibri"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sz w:val="22"/>
          <w:szCs w:val="22"/>
        </w:rPr>
        <w:t>фина</w:t>
      </w:r>
      <w:r>
        <w:rPr>
          <w:rFonts w:ascii="Calibri" w:hAnsi="Calibri"/>
          <w:sz w:val="22"/>
          <w:szCs w:val="22"/>
        </w:rPr>
        <w:t>нсирања</w:t>
      </w:r>
      <w:proofErr w:type="spellEnd"/>
      <w:r>
        <w:rPr>
          <w:rFonts w:ascii="Calibri" w:hAnsi="Calibri"/>
          <w:sz w:val="22"/>
          <w:szCs w:val="22"/>
          <w:lang w:val="sr-Cyrl-RS"/>
        </w:rPr>
        <w:t xml:space="preserve">: </w:t>
      </w:r>
      <w:r>
        <w:rPr>
          <w:rFonts w:ascii="Calibri" w:hAnsi="Calibri"/>
          <w:sz w:val="22"/>
          <w:szCs w:val="22"/>
        </w:rPr>
        <w:t xml:space="preserve"> </w:t>
      </w:r>
      <w:r w:rsidRPr="004316F3">
        <w:rPr>
          <w:rFonts w:ascii="Calibri" w:hAnsi="Calibri"/>
          <w:sz w:val="22"/>
          <w:szCs w:val="22"/>
        </w:rPr>
        <w:tab/>
        <w:t xml:space="preserve">    </w:t>
      </w:r>
    </w:p>
    <w:p w:rsidR="007766EE" w:rsidRDefault="007766EE" w:rsidP="007766EE">
      <w:pPr>
        <w:pStyle w:val="BodyText"/>
        <w:outlineLvl w:val="0"/>
        <w:rPr>
          <w:rFonts w:ascii="Calibri" w:hAnsi="Calibri"/>
          <w:sz w:val="22"/>
          <w:szCs w:val="22"/>
        </w:rPr>
      </w:pPr>
      <w:r w:rsidRPr="004316F3">
        <w:rPr>
          <w:rFonts w:ascii="Calibri" w:hAnsi="Calibri"/>
          <w:sz w:val="22"/>
          <w:szCs w:val="22"/>
        </w:rPr>
        <w:t xml:space="preserve">                        </w:t>
      </w:r>
    </w:p>
    <w:p w:rsidR="007766EE" w:rsidRDefault="007766EE" w:rsidP="007766EE">
      <w:pPr>
        <w:pStyle w:val="BodyText"/>
        <w:ind w:left="720"/>
        <w:jc w:val="right"/>
        <w:outlineLvl w:val="0"/>
        <w:rPr>
          <w:rFonts w:ascii="Calibri" w:hAnsi="Calibri"/>
          <w:b/>
          <w:i/>
          <w:sz w:val="22"/>
          <w:szCs w:val="22"/>
        </w:rPr>
      </w:pPr>
      <w:r w:rsidRPr="004316F3">
        <w:rPr>
          <w:rFonts w:ascii="Calibri" w:hAnsi="Calibri"/>
          <w:i/>
          <w:sz w:val="22"/>
          <w:szCs w:val="22"/>
        </w:rPr>
        <w:t>-</w:t>
      </w:r>
      <w:proofErr w:type="gramStart"/>
      <w:r w:rsidRPr="004316F3">
        <w:rPr>
          <w:rFonts w:ascii="Calibri" w:hAnsi="Calibri"/>
          <w:i/>
          <w:sz w:val="22"/>
          <w:szCs w:val="22"/>
        </w:rPr>
        <w:t>у</w:t>
      </w:r>
      <w:proofErr w:type="gramEnd"/>
      <w:r w:rsidRPr="004316F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4316F3">
        <w:rPr>
          <w:rFonts w:ascii="Calibri" w:hAnsi="Calibri"/>
          <w:i/>
          <w:sz w:val="22"/>
          <w:szCs w:val="22"/>
        </w:rPr>
        <w:t>динарима</w:t>
      </w:r>
      <w:proofErr w:type="spellEnd"/>
      <w:r w:rsidRPr="004316F3">
        <w:rPr>
          <w:rFonts w:ascii="Calibri" w:hAnsi="Calibri"/>
          <w:i/>
          <w:sz w:val="22"/>
          <w:szCs w:val="22"/>
        </w:rPr>
        <w:t>-</w:t>
      </w:r>
    </w:p>
    <w:tbl>
      <w:tblPr>
        <w:tblW w:w="16265" w:type="dxa"/>
        <w:tblInd w:w="-459" w:type="dxa"/>
        <w:tblLook w:val="04A0" w:firstRow="1" w:lastRow="0" w:firstColumn="1" w:lastColumn="0" w:noHBand="0" w:noVBand="1"/>
      </w:tblPr>
      <w:tblGrid>
        <w:gridCol w:w="423"/>
        <w:gridCol w:w="3178"/>
        <w:gridCol w:w="1379"/>
        <w:gridCol w:w="1378"/>
        <w:gridCol w:w="1254"/>
        <w:gridCol w:w="1171"/>
        <w:gridCol w:w="1171"/>
        <w:gridCol w:w="1254"/>
        <w:gridCol w:w="1254"/>
        <w:gridCol w:w="1254"/>
        <w:gridCol w:w="1171"/>
        <w:gridCol w:w="1378"/>
      </w:tblGrid>
      <w:tr w:rsidR="005B0D9C" w:rsidTr="002D0173">
        <w:trPr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207" w:rsidRDefault="002A62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Default="002A620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НАЗИВ ДИРЕКТНОГ БУЏЕТСКОГ КОРИСНИКА </w:t>
            </w:r>
          </w:p>
        </w:tc>
        <w:tc>
          <w:tcPr>
            <w:tcW w:w="12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07" w:rsidRDefault="002A62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извор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финансирања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0782" w:rsidTr="002D0173">
        <w:trPr>
          <w:trHeight w:val="67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7" w:rsidRDefault="002A620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07" w:rsidRDefault="002A620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01 00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01 02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01 12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09 12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12 05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13 00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13 02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 xml:space="preserve">13 12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>14 00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07" w:rsidRPr="005B0D9C" w:rsidRDefault="002A620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5B0D9C">
              <w:rPr>
                <w:rFonts w:ascii="Calibri" w:hAnsi="Calibri"/>
                <w:color w:val="000000"/>
                <w:sz w:val="14"/>
                <w:szCs w:val="14"/>
              </w:rPr>
              <w:t xml:space="preserve">У К У П Н О </w:t>
            </w:r>
          </w:p>
        </w:tc>
      </w:tr>
      <w:tr w:rsidR="00090782" w:rsidTr="006B231C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Скупштина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6B231C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Служба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Скупштине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6B231C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влада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6B231C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владе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2D0173">
        <w:trPr>
          <w:trHeight w:val="28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пољопривреду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водопривреду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шумарство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4.500.000,00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180.000.000,00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184.500.000,00 </w:t>
            </w:r>
          </w:p>
        </w:tc>
      </w:tr>
      <w:tr w:rsidR="00090782" w:rsidTr="002D0173">
        <w:trPr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јавно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информисање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односе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верским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заједницама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20.000.000,00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87.000.000,00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107.000.000,00 </w:t>
            </w:r>
          </w:p>
        </w:tc>
      </w:tr>
      <w:tr w:rsidR="00090782" w:rsidTr="002D0173">
        <w:trPr>
          <w:trHeight w:val="27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здравство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60.000.000,00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100.000.000,00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160.000.000,00 </w:t>
            </w:r>
          </w:p>
        </w:tc>
      </w:tr>
      <w:tr w:rsidR="00090782" w:rsidTr="002D0173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финансије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141.212.543,79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141.212.543,79 </w:t>
            </w:r>
          </w:p>
        </w:tc>
      </w:tr>
      <w:tr w:rsidR="00090782" w:rsidTr="002D0173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прописе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управу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националне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мањине-националне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200.000.000,00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250.000.000,00 </w:t>
            </w:r>
          </w:p>
        </w:tc>
      </w:tr>
      <w:tr w:rsidR="00090782" w:rsidTr="002D0173">
        <w:trPr>
          <w:trHeight w:val="4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регионални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међурегионалну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сарадњу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локалну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самоуправу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45.657.319,71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100.050.286,43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44.224.394,58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232.933.564,28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422.865.565,00 </w:t>
            </w:r>
          </w:p>
        </w:tc>
      </w:tr>
      <w:tr w:rsidR="00090782" w:rsidTr="002D0173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урбанизам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1.952.925,00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1.952.925,00 </w:t>
            </w:r>
          </w:p>
        </w:tc>
      </w:tr>
      <w:tr w:rsidR="00090782" w:rsidTr="002D0173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високо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научноистраживачку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делатност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21.500.000,00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110.000.000,00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131.500.000,00 </w:t>
            </w:r>
          </w:p>
        </w:tc>
      </w:tr>
      <w:tr w:rsidR="00090782" w:rsidTr="002D0173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енергетику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грађевинсрство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саобраћај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16.549.741,44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16.549.741,44 </w:t>
            </w:r>
          </w:p>
        </w:tc>
      </w:tr>
      <w:tr w:rsidR="00090782" w:rsidTr="002D0173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спорт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омладину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50.000.000,00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40.000.000,00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90.000.000,00 </w:t>
            </w:r>
          </w:p>
        </w:tc>
      </w:tr>
      <w:tr w:rsidR="00090782" w:rsidTr="002D0173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привреду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туризам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15.218.104,36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FF0000"/>
                <w:sz w:val="16"/>
                <w:szCs w:val="16"/>
              </w:rPr>
              <w:t xml:space="preserve">-15.218.104,36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2D0173">
        <w:trPr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Управа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заједничке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послове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покрајинских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органа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13.994.210,29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1.138.070,00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35.132.280,29 </w:t>
            </w:r>
          </w:p>
        </w:tc>
      </w:tr>
      <w:tr w:rsidR="00A97FD8" w:rsidTr="002D0173">
        <w:trPr>
          <w:trHeight w:val="45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97FD8" w:rsidRDefault="00A97FD8" w:rsidP="00E56D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 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FD8" w:rsidRDefault="00A97FD8" w:rsidP="00E56D0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НАЗИВ ДИРЕКТНОГ БУЏЕТСКОГ КОРИСНИКА </w:t>
            </w:r>
          </w:p>
        </w:tc>
        <w:tc>
          <w:tcPr>
            <w:tcW w:w="12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6B231C">
              <w:rPr>
                <w:rFonts w:asciiTheme="minorHAnsi" w:hAnsiTheme="minorHAnsi"/>
                <w:color w:val="000000"/>
                <w:sz w:val="22"/>
                <w:szCs w:val="22"/>
              </w:rPr>
              <w:t>извор</w:t>
            </w:r>
            <w:proofErr w:type="spellEnd"/>
            <w:r w:rsidRPr="006B23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231C">
              <w:rPr>
                <w:rFonts w:asciiTheme="minorHAnsi" w:hAnsiTheme="minorHAnsi"/>
                <w:color w:val="000000"/>
                <w:sz w:val="22"/>
                <w:szCs w:val="22"/>
              </w:rPr>
              <w:t>финансирања</w:t>
            </w:r>
            <w:proofErr w:type="spellEnd"/>
            <w:r w:rsidRPr="006B23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90782" w:rsidTr="002D0173">
        <w:trPr>
          <w:trHeight w:val="45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Default="00A97FD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FD8" w:rsidRDefault="00A97FD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01 00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01 02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01 12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09 12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12 05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13 00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13 02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13 12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>14 00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D8" w:rsidRPr="006B231C" w:rsidRDefault="00A97FD8" w:rsidP="00E56D04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У К У П Н О </w:t>
            </w:r>
          </w:p>
        </w:tc>
      </w:tr>
      <w:tr w:rsidR="00090782" w:rsidTr="002D0173">
        <w:trPr>
          <w:trHeight w:val="4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Служба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реализацију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програма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развоја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FF0000"/>
                <w:sz w:val="16"/>
                <w:szCs w:val="16"/>
              </w:rPr>
              <w:t xml:space="preserve">-6.050.000,00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FF0000"/>
                <w:sz w:val="16"/>
                <w:szCs w:val="16"/>
              </w:rPr>
              <w:t xml:space="preserve">-6.050.000,00 </w:t>
            </w:r>
          </w:p>
        </w:tc>
      </w:tr>
      <w:tr w:rsidR="00090782" w:rsidTr="006B231C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Служба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људским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ресурсима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2D0173">
        <w:trPr>
          <w:trHeight w:val="4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Дирекција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робне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резерве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393.831,60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10.000.000,00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10.393.831,60 </w:t>
            </w:r>
          </w:p>
        </w:tc>
      </w:tr>
      <w:tr w:rsidR="00090782" w:rsidTr="006B231C">
        <w:trPr>
          <w:trHeight w:val="3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заштитник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грађана-омбудсман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2D0173">
        <w:trPr>
          <w:trHeight w:val="3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Правобранилаштво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55.581,63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55.581,63 </w:t>
            </w:r>
          </w:p>
        </w:tc>
      </w:tr>
      <w:tr w:rsidR="00090782" w:rsidTr="006B231C">
        <w:trPr>
          <w:trHeight w:val="6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Служба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интерну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ревизију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корисника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090782" w:rsidTr="002D0173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Управа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FF0000"/>
                <w:sz w:val="16"/>
                <w:szCs w:val="16"/>
              </w:rPr>
              <w:t xml:space="preserve">-4.000.000,00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FF0000"/>
                <w:sz w:val="16"/>
                <w:szCs w:val="16"/>
              </w:rPr>
              <w:t xml:space="preserve">-4.000.000,00 </w:t>
            </w:r>
          </w:p>
        </w:tc>
      </w:tr>
      <w:tr w:rsidR="00090782" w:rsidTr="002D0173">
        <w:trPr>
          <w:trHeight w:val="55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Управа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капитална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улагања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 w:rsidP="001C76E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415.2</w:t>
            </w:r>
            <w:r w:rsidR="001C76E8" w:rsidRPr="006B231C">
              <w:rPr>
                <w:rFonts w:asciiTheme="minorHAnsi" w:hAnsiTheme="minorHAnsi" w:cs="Arial"/>
                <w:color w:val="000000"/>
                <w:sz w:val="16"/>
                <w:szCs w:val="16"/>
                <w:lang w:val="sr-Cyrl-RS"/>
              </w:rPr>
              <w:t>8</w:t>
            </w: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5.224,46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 w:rsidP="001C76E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47.3</w:t>
            </w:r>
            <w:r w:rsidR="001C76E8" w:rsidRPr="006B231C">
              <w:rPr>
                <w:rFonts w:asciiTheme="minorHAnsi" w:hAnsiTheme="minorHAnsi" w:cs="Arial"/>
                <w:color w:val="000000"/>
                <w:sz w:val="16"/>
                <w:szCs w:val="16"/>
                <w:lang w:val="sr-Cyrl-RS"/>
              </w:rPr>
              <w:t>7</w:t>
            </w: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6.794,00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 w:cs="Arial"/>
                <w:color w:val="FF0000"/>
                <w:sz w:val="14"/>
                <w:szCs w:val="14"/>
              </w:rPr>
              <w:t xml:space="preserve">-21.631.352,00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66.684.902,31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100.000.000,00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17.816.108,21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64.468.323,02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740.000.000,00 </w:t>
            </w:r>
          </w:p>
        </w:tc>
      </w:tr>
      <w:tr w:rsidR="00090782" w:rsidTr="002D0173">
        <w:trPr>
          <w:trHeight w:val="6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25.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Покрајински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секретаријат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социјалну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политику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демографију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равноправност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полова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12.000.000,00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12.000.000,00 </w:t>
            </w:r>
          </w:p>
        </w:tc>
      </w:tr>
      <w:tr w:rsidR="00090782" w:rsidTr="002D0173">
        <w:trPr>
          <w:trHeight w:val="54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26.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173" w:rsidRDefault="002D017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Служба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буџетску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инспекцију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Аутономне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покрајине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Војводине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9.421.595,72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9.421.595,72 </w:t>
            </w:r>
          </w:p>
        </w:tc>
      </w:tr>
      <w:tr w:rsidR="002D0173" w:rsidTr="002D0173">
        <w:trPr>
          <w:trHeight w:val="43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0173" w:rsidRDefault="002D0173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УКУПНО: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 w:rsidP="001C76E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1.017.6</w:t>
            </w:r>
            <w:r w:rsidR="001C76E8" w:rsidRPr="006B231C">
              <w:rPr>
                <w:rFonts w:asciiTheme="minorHAnsi" w:hAnsiTheme="minorHAnsi" w:cs="Arial"/>
                <w:color w:val="000000"/>
                <w:sz w:val="16"/>
                <w:szCs w:val="16"/>
                <w:lang w:val="sr-Cyrl-RS"/>
              </w:rPr>
              <w:t>9</w:t>
            </w: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1.078,00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134.832.182,07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 w:rsidP="001C76E8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47.3</w:t>
            </w:r>
            <w:r w:rsidR="001C76E8" w:rsidRPr="006B231C">
              <w:rPr>
                <w:rFonts w:asciiTheme="minorHAnsi" w:hAnsiTheme="minorHAnsi" w:cs="Arial"/>
                <w:color w:val="000000"/>
                <w:sz w:val="16"/>
                <w:szCs w:val="16"/>
                <w:lang w:val="sr-Cyrl-RS"/>
              </w:rPr>
              <w:t>7</w:t>
            </w: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6.794,00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1.138.070,00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 w:cs="Arial"/>
                <w:color w:val="FF0000"/>
                <w:sz w:val="14"/>
                <w:szCs w:val="14"/>
              </w:rPr>
              <w:t xml:space="preserve">-21.631.352,00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527.909.296,89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512.933.564,28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17.816.108,21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64.468.323,02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173" w:rsidRPr="006B231C" w:rsidRDefault="002D0173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2.302.534.064,47 </w:t>
            </w:r>
          </w:p>
        </w:tc>
      </w:tr>
      <w:tr w:rsidR="00090782" w:rsidTr="002D0173">
        <w:trPr>
          <w:trHeight w:val="67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Default="0009078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782" w:rsidRPr="009016DC" w:rsidRDefault="00090782" w:rsidP="00A97FD8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9016DC">
              <w:rPr>
                <w:rFonts w:ascii="Calibri" w:hAnsi="Calibri"/>
                <w:bCs/>
                <w:color w:val="000000"/>
                <w:sz w:val="16"/>
                <w:szCs w:val="16"/>
                <w:lang w:val="sr-Cyrl-RS"/>
              </w:rPr>
              <w:t>Нераспоређена средства резервисана за могуће п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  <w:lang w:val="sr-Cyrl-RS"/>
              </w:rPr>
              <w:t>овећање масе средстава за плате</w:t>
            </w: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*</w:t>
            </w:r>
            <w:r w:rsidRPr="009016DC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24.357.222,00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24.357.222,00 </w:t>
            </w:r>
          </w:p>
        </w:tc>
      </w:tr>
      <w:tr w:rsidR="00090782" w:rsidTr="002D0173">
        <w:trPr>
          <w:trHeight w:val="30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Default="0009078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90782" w:rsidRDefault="0009078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 w:rsidP="001C76E8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1.042.0</w:t>
            </w:r>
            <w:r w:rsidR="001C76E8"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sr-Cyrl-RS"/>
              </w:rPr>
              <w:t>4</w:t>
            </w: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134.832.182,07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 w:rsidP="001C76E8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47.3</w:t>
            </w:r>
            <w:r w:rsidR="001C76E8"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lang w:val="sr-Cyrl-RS"/>
              </w:rPr>
              <w:t>7</w:t>
            </w: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6.794,00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1.138.070,00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4"/>
                <w:szCs w:val="14"/>
              </w:rPr>
              <w:t>-21.631.352,00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527.909.296,89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512.933.564,28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17.816.108,21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64.468.323,02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0782" w:rsidRPr="006B231C" w:rsidRDefault="00090782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6B231C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2.326.891.286,47</w:t>
            </w:r>
          </w:p>
        </w:tc>
      </w:tr>
    </w:tbl>
    <w:p w:rsidR="00090782" w:rsidRDefault="00090782" w:rsidP="00A97FD8">
      <w:pPr>
        <w:pStyle w:val="BodyText"/>
        <w:jc w:val="both"/>
        <w:outlineLvl w:val="0"/>
        <w:rPr>
          <w:rFonts w:ascii="Calibri" w:hAnsi="Calibri"/>
          <w:b/>
          <w:sz w:val="22"/>
          <w:szCs w:val="22"/>
        </w:rPr>
      </w:pPr>
    </w:p>
    <w:p w:rsidR="00A97FD8" w:rsidRDefault="006B231C" w:rsidP="00A97FD8">
      <w:pPr>
        <w:pStyle w:val="BodyText"/>
        <w:jc w:val="both"/>
        <w:outlineLvl w:val="0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b/>
          <w:sz w:val="22"/>
          <w:szCs w:val="22"/>
          <w:lang w:val="sr-Latn-RS"/>
        </w:rPr>
        <w:t>*</w:t>
      </w:r>
      <w:r w:rsidR="00A97FD8" w:rsidRPr="00090782">
        <w:rPr>
          <w:rFonts w:ascii="Calibri" w:hAnsi="Calibri"/>
          <w:b/>
          <w:sz w:val="22"/>
          <w:szCs w:val="22"/>
          <w:lang w:val="sr-Cyrl-RS"/>
        </w:rPr>
        <w:t>Напомена:</w:t>
      </w:r>
      <w:r w:rsidR="00A97FD8">
        <w:rPr>
          <w:rFonts w:ascii="Calibri" w:hAnsi="Calibri"/>
          <w:sz w:val="22"/>
          <w:szCs w:val="22"/>
          <w:lang w:val="sr-Cyrl-RS"/>
        </w:rPr>
        <w:t xml:space="preserve"> Распоредом средстава </w:t>
      </w:r>
      <w:r w:rsidR="001C76E8">
        <w:rPr>
          <w:rFonts w:ascii="Calibri" w:hAnsi="Calibri"/>
          <w:sz w:val="22"/>
          <w:szCs w:val="22"/>
          <w:lang w:val="sr-Cyrl-RS"/>
        </w:rPr>
        <w:t xml:space="preserve">по корисницима </w:t>
      </w:r>
      <w:r w:rsidR="00A97FD8">
        <w:rPr>
          <w:rFonts w:ascii="Calibri" w:hAnsi="Calibri"/>
          <w:sz w:val="22"/>
          <w:szCs w:val="22"/>
          <w:lang w:val="sr-Cyrl-RS"/>
        </w:rPr>
        <w:t xml:space="preserve">није обухваћено повећање у износу од 24.357.222 динара. Наведени износ средстава резервисан је за повећање масе плата, а могућности и распоред средстава по корисницима биће утврђен у зависности од аката којима треба да се уреди методологија за израду кадровског плана, максимални број запослених на неодређено време по корисницима јавних средстава који припадају систему АП Војводине и други елементи кадровске политике који имају буџетске импликације. </w:t>
      </w:r>
    </w:p>
    <w:p w:rsidR="00134DDD" w:rsidRPr="00134DDD" w:rsidRDefault="00134DDD" w:rsidP="00A97FD8">
      <w:pPr>
        <w:pStyle w:val="BodyText"/>
        <w:jc w:val="both"/>
        <w:outlineLvl w:val="0"/>
        <w:rPr>
          <w:rFonts w:ascii="Calibri" w:hAnsi="Calibri"/>
          <w:sz w:val="22"/>
          <w:szCs w:val="22"/>
          <w:lang w:val="sr-Latn-RS"/>
        </w:rPr>
      </w:pPr>
    </w:p>
    <w:p w:rsidR="00A97FD8" w:rsidRPr="000303D5" w:rsidRDefault="00A97FD8" w:rsidP="00A97FD8">
      <w:pPr>
        <w:pStyle w:val="ListParagraph"/>
        <w:jc w:val="center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</w:t>
      </w:r>
      <w:r w:rsidR="00090782">
        <w:rPr>
          <w:rFonts w:ascii="Calibri" w:hAnsi="Calibri" w:cs="Arial"/>
          <w:sz w:val="22"/>
          <w:szCs w:val="22"/>
        </w:rPr>
        <w:t xml:space="preserve">  </w:t>
      </w:r>
      <w:r w:rsidR="00425F8A">
        <w:rPr>
          <w:rFonts w:ascii="Calibri" w:hAnsi="Calibri" w:cs="Arial"/>
          <w:sz w:val="22"/>
          <w:szCs w:val="22"/>
        </w:rPr>
        <w:tab/>
      </w:r>
      <w:r w:rsidR="00090782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         </w:t>
      </w:r>
      <w:r w:rsidRPr="000303D5">
        <w:rPr>
          <w:rFonts w:ascii="Calibri" w:hAnsi="Calibri" w:cs="Arial"/>
          <w:sz w:val="22"/>
          <w:szCs w:val="22"/>
          <w:lang w:val="sr-Cyrl-CS"/>
        </w:rPr>
        <w:t>ПОКРАЈИНСКА СЕКРЕТАРКА</w:t>
      </w:r>
    </w:p>
    <w:p w:rsidR="00A97FD8" w:rsidRPr="00D70B4A" w:rsidRDefault="00A97FD8" w:rsidP="00A97FD8">
      <w:pPr>
        <w:pStyle w:val="ListParagraph"/>
        <w:jc w:val="center"/>
        <w:rPr>
          <w:rFonts w:ascii="Calibri" w:hAnsi="Calibri" w:cs="Arial"/>
          <w:sz w:val="22"/>
          <w:szCs w:val="22"/>
          <w:lang w:val="sr-Cyrl-CS"/>
        </w:rPr>
      </w:pPr>
      <w:r w:rsidRPr="000303D5">
        <w:rPr>
          <w:rFonts w:ascii="Calibri" w:hAnsi="Calibri" w:cs="Arial"/>
          <w:sz w:val="22"/>
          <w:szCs w:val="22"/>
          <w:lang w:val="sr-Cyrl-CS"/>
        </w:rPr>
        <w:t xml:space="preserve">                                                    </w:t>
      </w:r>
      <w:r w:rsidR="00425F8A">
        <w:rPr>
          <w:rFonts w:ascii="Calibri" w:hAnsi="Calibri" w:cs="Arial"/>
          <w:sz w:val="22"/>
          <w:szCs w:val="22"/>
          <w:lang w:val="sr-Latn-RS"/>
        </w:rPr>
        <w:tab/>
      </w:r>
      <w:r w:rsidRPr="000303D5">
        <w:rPr>
          <w:rFonts w:ascii="Calibri" w:hAnsi="Calibri" w:cs="Arial"/>
          <w:sz w:val="22"/>
          <w:szCs w:val="22"/>
          <w:lang w:val="sr-Cyrl-CS"/>
        </w:rPr>
        <w:t xml:space="preserve">              Смиљка Јовановић</w:t>
      </w:r>
    </w:p>
    <w:p w:rsidR="009F1FCC" w:rsidRPr="00134DDD" w:rsidRDefault="00425F8A" w:rsidP="00134DDD">
      <w:pPr>
        <w:pStyle w:val="ListParagraph"/>
        <w:ind w:left="0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ab/>
      </w:r>
    </w:p>
    <w:sectPr w:rsidR="009F1FCC" w:rsidRPr="00134DDD" w:rsidSect="00134DDD">
      <w:footerReference w:type="even" r:id="rId12"/>
      <w:footerReference w:type="default" r:id="rId13"/>
      <w:pgSz w:w="16838" w:h="11906" w:orient="landscape" w:code="9"/>
      <w:pgMar w:top="709" w:right="709" w:bottom="1134" w:left="96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01" w:rsidRDefault="006F0201">
      <w:r>
        <w:separator/>
      </w:r>
    </w:p>
  </w:endnote>
  <w:endnote w:type="continuationSeparator" w:id="0">
    <w:p w:rsidR="006F0201" w:rsidRDefault="006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6" w:rsidRDefault="001D68F6" w:rsidP="00741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8F6" w:rsidRDefault="001D6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6" w:rsidRDefault="001D68F6" w:rsidP="00741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250">
      <w:rPr>
        <w:rStyle w:val="PageNumber"/>
        <w:noProof/>
      </w:rPr>
      <w:t>3</w:t>
    </w:r>
    <w:r>
      <w:rPr>
        <w:rStyle w:val="PageNumber"/>
      </w:rPr>
      <w:fldChar w:fldCharType="end"/>
    </w:r>
  </w:p>
  <w:p w:rsidR="001D68F6" w:rsidRDefault="001D68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6" w:rsidRDefault="001D68F6" w:rsidP="00641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8F6" w:rsidRDefault="001D68F6" w:rsidP="008D0E1F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F6" w:rsidRDefault="001D68F6" w:rsidP="00641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250">
      <w:rPr>
        <w:rStyle w:val="PageNumber"/>
        <w:noProof/>
      </w:rPr>
      <w:t>5</w:t>
    </w:r>
    <w:r>
      <w:rPr>
        <w:rStyle w:val="PageNumber"/>
      </w:rPr>
      <w:fldChar w:fldCharType="end"/>
    </w:r>
  </w:p>
  <w:p w:rsidR="001D68F6" w:rsidRDefault="001D68F6" w:rsidP="001C7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01" w:rsidRDefault="006F0201">
      <w:r>
        <w:separator/>
      </w:r>
    </w:p>
  </w:footnote>
  <w:footnote w:type="continuationSeparator" w:id="0">
    <w:p w:rsidR="006F0201" w:rsidRDefault="006F0201">
      <w:r>
        <w:continuationSeparator/>
      </w:r>
    </w:p>
  </w:footnote>
  <w:footnote w:id="1">
    <w:p w:rsidR="00B80D5F" w:rsidRPr="00B80D5F" w:rsidRDefault="00B80D5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40D39">
        <w:rPr>
          <w:rFonts w:ascii="Calibri" w:hAnsi="Calibri"/>
          <w:sz w:val="18"/>
          <w:szCs w:val="18"/>
          <w:lang w:val="sr-Cyrl-RS"/>
        </w:rPr>
        <w:t>на буџетским конференцијама , а уз координацију покрајинске секретарке за финансије</w:t>
      </w:r>
      <w:r>
        <w:rPr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DCD"/>
    <w:multiLevelType w:val="multilevel"/>
    <w:tmpl w:val="AA74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46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>
    <w:nsid w:val="07F45253"/>
    <w:multiLevelType w:val="hybridMultilevel"/>
    <w:tmpl w:val="17D821A6"/>
    <w:lvl w:ilvl="0" w:tplc="500C72FE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04462F"/>
    <w:multiLevelType w:val="hybridMultilevel"/>
    <w:tmpl w:val="7326032A"/>
    <w:lvl w:ilvl="0" w:tplc="241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317466BD"/>
    <w:multiLevelType w:val="hybridMultilevel"/>
    <w:tmpl w:val="1B5032E8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">
    <w:nsid w:val="368D7EA2"/>
    <w:multiLevelType w:val="hybridMultilevel"/>
    <w:tmpl w:val="2132BFDA"/>
    <w:lvl w:ilvl="0" w:tplc="59EADD4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413EB"/>
    <w:multiLevelType w:val="hybridMultilevel"/>
    <w:tmpl w:val="9C0E719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82F5B"/>
    <w:multiLevelType w:val="hybridMultilevel"/>
    <w:tmpl w:val="B6103690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B3234CD"/>
    <w:multiLevelType w:val="hybridMultilevel"/>
    <w:tmpl w:val="AE42A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92EB3"/>
    <w:multiLevelType w:val="hybridMultilevel"/>
    <w:tmpl w:val="E16A20F4"/>
    <w:lvl w:ilvl="0" w:tplc="7FCE8D08">
      <w:start w:val="1"/>
      <w:numFmt w:val="bullet"/>
      <w:lvlText w:val="-"/>
      <w:lvlJc w:val="left"/>
      <w:pPr>
        <w:tabs>
          <w:tab w:val="num" w:pos="1593"/>
        </w:tabs>
        <w:ind w:left="1593" w:hanging="645"/>
      </w:pPr>
      <w:rPr>
        <w:rFonts w:ascii="Verdana" w:eastAsia="Gill Sans MT Ext Condensed Bold" w:hAnsi="Verdana" w:cs="Gill Sans MT Ext Condense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9">
    <w:nsid w:val="7E1C4214"/>
    <w:multiLevelType w:val="hybridMultilevel"/>
    <w:tmpl w:val="EED29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C"/>
    <w:rsid w:val="00012F83"/>
    <w:rsid w:val="00021522"/>
    <w:rsid w:val="000303D5"/>
    <w:rsid w:val="00073D3C"/>
    <w:rsid w:val="00086ADB"/>
    <w:rsid w:val="00090782"/>
    <w:rsid w:val="00101AD7"/>
    <w:rsid w:val="00127AD6"/>
    <w:rsid w:val="00134DDD"/>
    <w:rsid w:val="00147105"/>
    <w:rsid w:val="0016183E"/>
    <w:rsid w:val="00190529"/>
    <w:rsid w:val="001A2685"/>
    <w:rsid w:val="001B1426"/>
    <w:rsid w:val="001C0378"/>
    <w:rsid w:val="001C76E8"/>
    <w:rsid w:val="001D3BFB"/>
    <w:rsid w:val="001D68F6"/>
    <w:rsid w:val="001E1D97"/>
    <w:rsid w:val="001F590E"/>
    <w:rsid w:val="0021416C"/>
    <w:rsid w:val="00273D21"/>
    <w:rsid w:val="00274EFB"/>
    <w:rsid w:val="0028159E"/>
    <w:rsid w:val="002A0F31"/>
    <w:rsid w:val="002A6207"/>
    <w:rsid w:val="002B5174"/>
    <w:rsid w:val="002C0F7E"/>
    <w:rsid w:val="002D0173"/>
    <w:rsid w:val="00324D02"/>
    <w:rsid w:val="0032568E"/>
    <w:rsid w:val="00331BD6"/>
    <w:rsid w:val="003844B3"/>
    <w:rsid w:val="003A2B2C"/>
    <w:rsid w:val="003B0537"/>
    <w:rsid w:val="003B59FC"/>
    <w:rsid w:val="003C2F9A"/>
    <w:rsid w:val="003E48F0"/>
    <w:rsid w:val="003F0773"/>
    <w:rsid w:val="003F375F"/>
    <w:rsid w:val="00407B2E"/>
    <w:rsid w:val="00425F8A"/>
    <w:rsid w:val="0043700C"/>
    <w:rsid w:val="0044222C"/>
    <w:rsid w:val="0046598E"/>
    <w:rsid w:val="004751F9"/>
    <w:rsid w:val="00485E00"/>
    <w:rsid w:val="0049189F"/>
    <w:rsid w:val="004A7D72"/>
    <w:rsid w:val="004B6D63"/>
    <w:rsid w:val="004E1F7B"/>
    <w:rsid w:val="004F523A"/>
    <w:rsid w:val="00516161"/>
    <w:rsid w:val="00521678"/>
    <w:rsid w:val="005323FA"/>
    <w:rsid w:val="005439FC"/>
    <w:rsid w:val="0059568E"/>
    <w:rsid w:val="005B0D9C"/>
    <w:rsid w:val="005B2BD8"/>
    <w:rsid w:val="005B4015"/>
    <w:rsid w:val="005D2488"/>
    <w:rsid w:val="005D29A7"/>
    <w:rsid w:val="005F017B"/>
    <w:rsid w:val="006120AF"/>
    <w:rsid w:val="0063296C"/>
    <w:rsid w:val="00633014"/>
    <w:rsid w:val="00641965"/>
    <w:rsid w:val="006465C6"/>
    <w:rsid w:val="00646D1D"/>
    <w:rsid w:val="00661425"/>
    <w:rsid w:val="00661F75"/>
    <w:rsid w:val="006761D5"/>
    <w:rsid w:val="006B231C"/>
    <w:rsid w:val="006C2D63"/>
    <w:rsid w:val="006D5C35"/>
    <w:rsid w:val="006D7FE1"/>
    <w:rsid w:val="006F0201"/>
    <w:rsid w:val="007410F6"/>
    <w:rsid w:val="0074334C"/>
    <w:rsid w:val="007766EE"/>
    <w:rsid w:val="0078370A"/>
    <w:rsid w:val="00791D39"/>
    <w:rsid w:val="007B3562"/>
    <w:rsid w:val="007B4AE9"/>
    <w:rsid w:val="007C2311"/>
    <w:rsid w:val="007D0A6A"/>
    <w:rsid w:val="007E23CE"/>
    <w:rsid w:val="007F4109"/>
    <w:rsid w:val="00824430"/>
    <w:rsid w:val="00866A07"/>
    <w:rsid w:val="00876098"/>
    <w:rsid w:val="008818C7"/>
    <w:rsid w:val="0088507C"/>
    <w:rsid w:val="00885BA4"/>
    <w:rsid w:val="008A40F1"/>
    <w:rsid w:val="008B5871"/>
    <w:rsid w:val="008D0E1F"/>
    <w:rsid w:val="009016DC"/>
    <w:rsid w:val="00943DEE"/>
    <w:rsid w:val="0095649D"/>
    <w:rsid w:val="009D3846"/>
    <w:rsid w:val="009D7970"/>
    <w:rsid w:val="009F1FCC"/>
    <w:rsid w:val="00A21D70"/>
    <w:rsid w:val="00A27AE1"/>
    <w:rsid w:val="00A41337"/>
    <w:rsid w:val="00A74D18"/>
    <w:rsid w:val="00A81D6E"/>
    <w:rsid w:val="00A90DB3"/>
    <w:rsid w:val="00A97FD8"/>
    <w:rsid w:val="00AC0937"/>
    <w:rsid w:val="00AD68DA"/>
    <w:rsid w:val="00B02417"/>
    <w:rsid w:val="00B222B3"/>
    <w:rsid w:val="00B3053D"/>
    <w:rsid w:val="00B434A4"/>
    <w:rsid w:val="00B54250"/>
    <w:rsid w:val="00B708BA"/>
    <w:rsid w:val="00B73E5B"/>
    <w:rsid w:val="00B80D5F"/>
    <w:rsid w:val="00B94171"/>
    <w:rsid w:val="00BC1913"/>
    <w:rsid w:val="00BD765D"/>
    <w:rsid w:val="00C13301"/>
    <w:rsid w:val="00C30DF3"/>
    <w:rsid w:val="00C47322"/>
    <w:rsid w:val="00C71024"/>
    <w:rsid w:val="00CD25CB"/>
    <w:rsid w:val="00CD7DB1"/>
    <w:rsid w:val="00CE6433"/>
    <w:rsid w:val="00D14897"/>
    <w:rsid w:val="00D25D55"/>
    <w:rsid w:val="00D40D39"/>
    <w:rsid w:val="00D64BEF"/>
    <w:rsid w:val="00D70B4A"/>
    <w:rsid w:val="00D75DDA"/>
    <w:rsid w:val="00DD18B4"/>
    <w:rsid w:val="00DE33DB"/>
    <w:rsid w:val="00DE4B3A"/>
    <w:rsid w:val="00DE55FC"/>
    <w:rsid w:val="00DE75E4"/>
    <w:rsid w:val="00E308F9"/>
    <w:rsid w:val="00E56D04"/>
    <w:rsid w:val="00E81611"/>
    <w:rsid w:val="00E8419A"/>
    <w:rsid w:val="00EB14E1"/>
    <w:rsid w:val="00ED0E09"/>
    <w:rsid w:val="00EE18B7"/>
    <w:rsid w:val="00EE222E"/>
    <w:rsid w:val="00EF4B5C"/>
    <w:rsid w:val="00F50978"/>
    <w:rsid w:val="00FB38D2"/>
    <w:rsid w:val="00FB7F16"/>
    <w:rsid w:val="00F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B2C"/>
    <w:rPr>
      <w:sz w:val="24"/>
      <w:szCs w:val="24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3F375F"/>
    <w:pPr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A2B2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A2B2C"/>
    <w:rPr>
      <w:sz w:val="20"/>
      <w:szCs w:val="20"/>
    </w:rPr>
  </w:style>
  <w:style w:type="character" w:styleId="FootnoteReference">
    <w:name w:val="footnote reference"/>
    <w:uiPriority w:val="99"/>
    <w:rsid w:val="003A2B2C"/>
    <w:rPr>
      <w:vertAlign w:val="superscript"/>
    </w:rPr>
  </w:style>
  <w:style w:type="table" w:styleId="TableGrid">
    <w:name w:val="Table Grid"/>
    <w:basedOn w:val="TableNormal"/>
    <w:rsid w:val="003A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A2B2C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uiPriority w:val="99"/>
    <w:rsid w:val="003A2B2C"/>
    <w:pPr>
      <w:tabs>
        <w:tab w:val="center" w:pos="4702"/>
        <w:tab w:val="right" w:pos="9405"/>
      </w:tabs>
    </w:pPr>
  </w:style>
  <w:style w:type="paragraph" w:styleId="BodyTextIndent3">
    <w:name w:val="Body Text Indent 3"/>
    <w:basedOn w:val="Normal"/>
    <w:rsid w:val="003A2B2C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3A2B2C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3A2B2C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uiPriority w:val="99"/>
    <w:semiHidden/>
    <w:locked/>
    <w:rsid w:val="003A2B2C"/>
    <w:rPr>
      <w:lang w:val="en-US" w:eastAsia="en-US" w:bidi="ar-SA"/>
    </w:rPr>
  </w:style>
  <w:style w:type="character" w:styleId="Hyperlink">
    <w:name w:val="Hyperlink"/>
    <w:rsid w:val="003A2B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B2C"/>
    <w:pPr>
      <w:ind w:left="708"/>
    </w:pPr>
  </w:style>
  <w:style w:type="character" w:styleId="PageNumber">
    <w:name w:val="page number"/>
    <w:basedOn w:val="DefaultParagraphFont"/>
    <w:rsid w:val="008D0E1F"/>
  </w:style>
  <w:style w:type="character" w:customStyle="1" w:styleId="Heading6Char">
    <w:name w:val="Heading 6 Char"/>
    <w:link w:val="Heading6"/>
    <w:uiPriority w:val="9"/>
    <w:rsid w:val="003F375F"/>
    <w:rPr>
      <w:b/>
      <w:bCs/>
      <w:sz w:val="15"/>
      <w:szCs w:val="15"/>
    </w:rPr>
  </w:style>
  <w:style w:type="paragraph" w:styleId="BodyText">
    <w:name w:val="Body Text"/>
    <w:basedOn w:val="Normal"/>
    <w:link w:val="BodyTextChar"/>
    <w:rsid w:val="00BD765D"/>
    <w:pPr>
      <w:spacing w:after="120"/>
    </w:pPr>
  </w:style>
  <w:style w:type="character" w:customStyle="1" w:styleId="BodyTextChar">
    <w:name w:val="Body Text Char"/>
    <w:link w:val="BodyText"/>
    <w:rsid w:val="00BD765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5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90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B2C"/>
    <w:rPr>
      <w:sz w:val="24"/>
      <w:szCs w:val="24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3F375F"/>
    <w:pPr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A2B2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A2B2C"/>
    <w:rPr>
      <w:sz w:val="20"/>
      <w:szCs w:val="20"/>
    </w:rPr>
  </w:style>
  <w:style w:type="character" w:styleId="FootnoteReference">
    <w:name w:val="footnote reference"/>
    <w:uiPriority w:val="99"/>
    <w:rsid w:val="003A2B2C"/>
    <w:rPr>
      <w:vertAlign w:val="superscript"/>
    </w:rPr>
  </w:style>
  <w:style w:type="table" w:styleId="TableGrid">
    <w:name w:val="Table Grid"/>
    <w:basedOn w:val="TableNormal"/>
    <w:rsid w:val="003A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A2B2C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uiPriority w:val="99"/>
    <w:rsid w:val="003A2B2C"/>
    <w:pPr>
      <w:tabs>
        <w:tab w:val="center" w:pos="4702"/>
        <w:tab w:val="right" w:pos="9405"/>
      </w:tabs>
    </w:pPr>
  </w:style>
  <w:style w:type="paragraph" w:styleId="BodyTextIndent3">
    <w:name w:val="Body Text Indent 3"/>
    <w:basedOn w:val="Normal"/>
    <w:rsid w:val="003A2B2C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3A2B2C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3A2B2C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uiPriority w:val="99"/>
    <w:semiHidden/>
    <w:locked/>
    <w:rsid w:val="003A2B2C"/>
    <w:rPr>
      <w:lang w:val="en-US" w:eastAsia="en-US" w:bidi="ar-SA"/>
    </w:rPr>
  </w:style>
  <w:style w:type="character" w:styleId="Hyperlink">
    <w:name w:val="Hyperlink"/>
    <w:rsid w:val="003A2B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B2C"/>
    <w:pPr>
      <w:ind w:left="708"/>
    </w:pPr>
  </w:style>
  <w:style w:type="character" w:styleId="PageNumber">
    <w:name w:val="page number"/>
    <w:basedOn w:val="DefaultParagraphFont"/>
    <w:rsid w:val="008D0E1F"/>
  </w:style>
  <w:style w:type="character" w:customStyle="1" w:styleId="Heading6Char">
    <w:name w:val="Heading 6 Char"/>
    <w:link w:val="Heading6"/>
    <w:uiPriority w:val="9"/>
    <w:rsid w:val="003F375F"/>
    <w:rPr>
      <w:b/>
      <w:bCs/>
      <w:sz w:val="15"/>
      <w:szCs w:val="15"/>
    </w:rPr>
  </w:style>
  <w:style w:type="paragraph" w:styleId="BodyText">
    <w:name w:val="Body Text"/>
    <w:basedOn w:val="Normal"/>
    <w:link w:val="BodyTextChar"/>
    <w:rsid w:val="00BD765D"/>
    <w:pPr>
      <w:spacing w:after="120"/>
    </w:pPr>
  </w:style>
  <w:style w:type="character" w:customStyle="1" w:styleId="BodyTextChar">
    <w:name w:val="Body Text Char"/>
    <w:link w:val="BodyText"/>
    <w:rsid w:val="00BD765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5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90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DB0-FE16-4C04-B8E3-B5D785CB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zorica.vukobrat</dc:creator>
  <cp:lastModifiedBy>Ivan Majoros</cp:lastModifiedBy>
  <cp:revision>8</cp:revision>
  <cp:lastPrinted>2017-05-16T07:26:00Z</cp:lastPrinted>
  <dcterms:created xsi:type="dcterms:W3CDTF">2017-05-16T05:52:00Z</dcterms:created>
  <dcterms:modified xsi:type="dcterms:W3CDTF">2017-05-16T07:27:00Z</dcterms:modified>
</cp:coreProperties>
</file>