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0" w:name="_GoBack"/>
      <w:bookmarkEnd w:id="0"/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1808E2FE" wp14:editId="27F8F308">
            <wp:extent cx="552450" cy="676275"/>
            <wp:effectExtent l="0" t="0" r="0" b="9525"/>
            <wp:docPr id="1" name="Picture 1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 w:rsidSect="005B39A4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CD7D99">
          <w:rPr>
            <w:rFonts w:ascii="Calibri" w:eastAsia="Calibri" w:hAnsi="Calibri" w:cs="Times New Roman"/>
            <w:color w:val="0000FF"/>
            <w:u w:val="single"/>
          </w:rPr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2182D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1" w:anchor="_Toc465067347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5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2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3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4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18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5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6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7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6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2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39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4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5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6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E2182D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7" w:history="1">
        <w:r w:rsidR="00CD7D99" w:rsidRPr="00CD7D99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CD7D99" w:rsidRPr="00CD7D99" w:rsidRDefault="00CD7D99" w:rsidP="00CD7D99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5527EC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bookmarkStart w:id="1" w:name="_Toc465067346"/>
      <w:bookmarkStart w:id="2" w:name="_Toc274041988"/>
      <w:bookmarkStart w:id="3" w:name="_Ref274042055"/>
      <w:bookmarkStart w:id="4" w:name="_Toc274042116"/>
      <w:r w:rsidRPr="00CD7D99">
        <w:rPr>
          <w:rFonts w:eastAsia="Times New Roman"/>
          <w:sz w:val="24"/>
          <w:szCs w:val="24"/>
          <w:lang w:val="hu-HU"/>
        </w:rPr>
        <w:t xml:space="preserve">1.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1"/>
      <w:bookmarkEnd w:id="2"/>
      <w:bookmarkEnd w:id="3"/>
      <w:bookmarkEnd w:id="4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CD7D99" w:rsidRPr="00CD7D99" w:rsidRDefault="00DE6B5A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Tartományi Pénzügyi Titkárság,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 xml:space="preserve"> Újvidék, Mihajlo Pupin sugárút 16., törzsszáma  08035059, adóazonosító száma (PIB)100715309.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CD7D99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CD7D99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CD7D99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A259ED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</w:t>
      </w:r>
      <w:r w:rsidR="00DE6B5A">
        <w:rPr>
          <w:rFonts w:ascii="Calibri" w:eastAsia="Times New Roman" w:hAnsi="Calibri" w:cs="Times New Roman"/>
          <w:noProof/>
          <w:lang w:val="sr-Latn-CS"/>
        </w:rPr>
        <w:t>e</w:t>
      </w:r>
      <w:r w:rsidR="00A259ED">
        <w:rPr>
          <w:rFonts w:ascii="Calibri" w:eastAsia="Times New Roman" w:hAnsi="Calibri" w:cs="Times New Roman"/>
          <w:noProof/>
          <w:lang w:val="sr-Latn-CS"/>
        </w:rPr>
        <w:t>zései alapján készült és 2018.01</w:t>
      </w:r>
      <w:r w:rsidRPr="00CD7D99">
        <w:rPr>
          <w:rFonts w:ascii="Calibri" w:eastAsia="Times New Roman" w:hAnsi="Calibri" w:cs="Times New Roman"/>
          <w:noProof/>
          <w:lang w:val="sr-Latn-CS"/>
        </w:rPr>
        <w:t>.</w:t>
      </w:r>
      <w:r w:rsidR="00A259ED">
        <w:rPr>
          <w:rFonts w:ascii="Calibri" w:eastAsia="Times New Roman" w:hAnsi="Calibri" w:cs="Times New Roman"/>
          <w:noProof/>
          <w:lang w:val="sr-Latn-CS"/>
        </w:rPr>
        <w:t>29-é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n jelent meg a Tartományi Pénzügyi Titkárság </w:t>
      </w:r>
      <w:bookmarkStart w:id="5" w:name="OLE_LINK18"/>
      <w:r w:rsidRPr="00CD7D99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CD7D99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CD7D99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5"/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</w:t>
      </w:r>
      <w:r w:rsidR="005527EC">
        <w:rPr>
          <w:rFonts w:ascii="Calibri" w:eastAsia="Times New Roman" w:hAnsi="Calibri" w:cs="Times New Roman"/>
          <w:noProof/>
          <w:lang w:val="sr-Latn-CS"/>
        </w:rPr>
        <w:t>n közzétett bemutató keretében.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A259ED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2017.december</w:t>
      </w:r>
      <w:r w:rsidR="005527EC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3</w:t>
      </w:r>
      <w:r>
        <w:rPr>
          <w:rFonts w:ascii="Calibri" w:eastAsia="Times New Roman" w:hAnsi="Calibri" w:cs="Times New Roman"/>
          <w:noProof/>
          <w:lang w:val="sr-Latn-CS"/>
        </w:rPr>
        <w:t>1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é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6" w:name="_Toc465067347"/>
      <w:r w:rsidRPr="00CD7D99">
        <w:rPr>
          <w:rFonts w:eastAsia="Times New Roman"/>
          <w:sz w:val="24"/>
          <w:szCs w:val="24"/>
          <w:lang w:val="hu-HU" w:eastAsia="sr-Cyrl-RS"/>
        </w:rPr>
        <w:t xml:space="preserve">2. </w:t>
      </w:r>
      <w:r w:rsidRPr="00CD7D99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6"/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2D14" wp14:editId="109C534D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6E30" wp14:editId="6E7410A2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F17F3" wp14:editId="5936C448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4D380" wp14:editId="2B02AB12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995A7" wp14:editId="0D9EDF6B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DC4BE" wp14:editId="16A181B2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946E1" wp14:editId="12210EF1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6E7EE" wp14:editId="503C47AA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6130F" wp14:editId="1F65F92C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4D4D8" wp14:editId="08361D5E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149C9" wp14:editId="7548650E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9BD66" wp14:editId="0EC3E0E1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6BDBB" wp14:editId="30F965EF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841BC" wp14:editId="1F8EC72E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A35490" w:rsidRDefault="00A259ED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A259ED" w:rsidRPr="00A35490" w:rsidRDefault="00A259ED" w:rsidP="00CD7D99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BE92E" wp14:editId="03AD6FC4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9ED" w:rsidRPr="00540C7A" w:rsidRDefault="00A259ED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A259ED" w:rsidRPr="00540C7A" w:rsidRDefault="00A259ED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574D1" wp14:editId="797F3BC1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9ED" w:rsidRPr="00540C7A" w:rsidRDefault="00A259ED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A259ED" w:rsidRPr="00540C7A" w:rsidRDefault="00A259ED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Jogi 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46668" wp14:editId="0C797109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9ED" w:rsidRPr="00ED440E" w:rsidRDefault="00A259ED" w:rsidP="00CD7D99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A259ED" w:rsidRPr="00540C7A" w:rsidRDefault="00A259ED" w:rsidP="00CD7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A259ED" w:rsidRPr="00ED440E" w:rsidRDefault="00A259ED" w:rsidP="00CD7D99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Konszolidált Számlaügyi Főosztály</w:t>
                      </w:r>
                    </w:p>
                    <w:p w:rsidR="00A259ED" w:rsidRPr="00540C7A" w:rsidRDefault="00A259ED" w:rsidP="00CD7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22429" wp14:editId="49621415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ED440E" w:rsidRDefault="00A259ED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A259ED" w:rsidRPr="00540C7A" w:rsidRDefault="00A259ED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A259ED" w:rsidRPr="00ED440E" w:rsidRDefault="00A259ED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A259ED" w:rsidRPr="00540C7A" w:rsidRDefault="00A259ED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945A4" wp14:editId="42E18084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540C7A" w:rsidRDefault="00A259ED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A259ED" w:rsidRPr="00540C7A" w:rsidRDefault="00A259ED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C1CEC" wp14:editId="4BBE62D3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9ED" w:rsidRPr="00540C7A" w:rsidRDefault="00A259ED" w:rsidP="00CD7D9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A259ED" w:rsidRPr="00540C7A" w:rsidRDefault="00A259ED" w:rsidP="00CD7D9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DE371" wp14:editId="526B5505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8D1FC8" w:rsidRDefault="00A259ED" w:rsidP="00CD7D99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3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" filled="f" fillcolor="#bbe0e3" strokeweight="1pt">
                <v:textbox inset="0,0,0,0">
                  <w:txbxContent>
                    <w:p w:rsidR="00A259ED" w:rsidRPr="008D1FC8" w:rsidRDefault="00A259ED" w:rsidP="00CD7D99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Pénzeszközirányítási 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97B07" wp14:editId="52E1B00E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8D1FC8" w:rsidRDefault="00A259ED" w:rsidP="00CD7D99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 xml:space="preserve">Információs Rendszer Kidolgozási és Fenntartási </w:t>
                            </w:r>
                            <w:r>
                              <w:rPr>
                                <w:sz w:val="15"/>
                                <w:szCs w:val="15"/>
                                <w:lang w:val="hr-HR"/>
                              </w:rPr>
                              <w:t>részleg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4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Mg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Ofd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AQYnMg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A259ED" w:rsidRPr="008D1FC8" w:rsidRDefault="00A259ED" w:rsidP="00CD7D99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Információs Rendszer Kidolgozási és Fenntartási </w:t>
                      </w:r>
                      <w:r>
                        <w:rPr>
                          <w:sz w:val="15"/>
                          <w:szCs w:val="15"/>
                          <w:lang w:val="hr-HR"/>
                        </w:rPr>
                        <w:t>részleg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BF44F" wp14:editId="2C4851C4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A35490" w:rsidRDefault="00A259ED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5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" filled="f" fillcolor="#bbe0e3" strokeweight="1.5pt">
                <v:textbox inset="0,0,0,0">
                  <w:txbxContent>
                    <w:p w:rsidR="00A259ED" w:rsidRPr="00A35490" w:rsidRDefault="00A259ED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Könyvviteli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5A896" wp14:editId="55D18145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533F3E" w:rsidRDefault="00A259ED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6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8b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wz6qWz0ewJxGN0P8Tw6IBRa/MDow4GuMD2+44YjpF8r0CAftpH&#10;w4zGZjSIohBaYOoMRv1m6fp3Ydcasa0BOwm9VfoGZFoJ59X2nMewgbEMNIYnxM/9y33wen7oFr8B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LVUvG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A259ED" w:rsidRPr="00533F3E" w:rsidRDefault="00A259ED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Pénzügyi 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B4B49" wp14:editId="0553DD01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9ED" w:rsidRPr="00600080" w:rsidRDefault="00A259ED" w:rsidP="00CD7D99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7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" strokeweight="1.5pt">
                <v:textbox inset="0,0,0,0">
                  <w:txbxContent>
                    <w:p w:rsidR="00A259ED" w:rsidRPr="00600080" w:rsidRDefault="00A259ED" w:rsidP="00CD7D99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Jelentéstételi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22CA7" wp14:editId="5487F2D6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ED440E" w:rsidRDefault="00A259ED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A259ED" w:rsidRPr="00F66CB5" w:rsidRDefault="00A259ED" w:rsidP="00CD7D99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38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CV3BFJ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A259ED" w:rsidRPr="00ED440E" w:rsidRDefault="00A259ED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TARTOMÁNYI 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A259ED" w:rsidRPr="00F66CB5" w:rsidRDefault="00A259ED" w:rsidP="00CD7D99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BD26E" wp14:editId="6F44CC3B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Default="00A259ED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39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DmHhUo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A259ED" w:rsidRDefault="00A259ED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Fizetésügyi 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BE074" wp14:editId="08BEA713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0A12D2" w:rsidRDefault="00A259ED" w:rsidP="00CD7D99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0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OI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+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oS8ziJ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A259ED" w:rsidRPr="000A12D2" w:rsidRDefault="00A259ED" w:rsidP="00CD7D99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C2AB8" wp14:editId="749F8BC3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8D1FC8" w:rsidRDefault="00A259ED" w:rsidP="00CD7D99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1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CSRPcE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A259ED" w:rsidRPr="008D1FC8" w:rsidRDefault="00A259ED" w:rsidP="00CD7D99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1BD84" wp14:editId="4E90263A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9ED" w:rsidRPr="008D1FC8" w:rsidRDefault="00A259ED" w:rsidP="00CD7D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2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" filled="f" fillcolor="#bbe0e3" strokeweight="1pt">
                <v:textbox inset="0,0,0,0">
                  <w:txbxContent>
                    <w:p w:rsidR="00A259ED" w:rsidRPr="008D1FC8" w:rsidRDefault="00A259ED" w:rsidP="00CD7D99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7A0C7" wp14:editId="3AFFB5A7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CD7D99">
        <w:rPr>
          <w:rFonts w:ascii="Calibri" w:eastAsia="Calibri" w:hAnsi="Calibri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E8ACD1" wp14:editId="3F3AD65F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7" w:name="OLE_LINK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z altitkár a belső egységeken kívüli besorolású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összesen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77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végrehajtóval. A határozatlan időre foglalkoztatottak és a tiszts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égbe helyezett személyek száma 6</w:t>
      </w:r>
      <w:r w:rsidR="00A259ED">
        <w:rPr>
          <w:rFonts w:ascii="Calibri" w:eastAsia="Times New Roman" w:hAnsi="Calibri" w:cs="Times New Roman"/>
          <w:noProof/>
          <w:szCs w:val="24"/>
          <w:lang w:val="sr-Latn-CS"/>
        </w:rPr>
        <w:t>8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Ideiglenes és alkalmi munkavégzésről szóló szerződés </w:t>
      </w:r>
      <w:r w:rsidR="00296E6D">
        <w:rPr>
          <w:rFonts w:ascii="Calibri" w:eastAsia="Times New Roman" w:hAnsi="Calibri" w:cs="Times New Roman"/>
          <w:noProof/>
          <w:szCs w:val="24"/>
          <w:lang w:val="sr-Latn-CS"/>
        </w:rPr>
        <w:t>alapján 5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személyt alkalmaztunk.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Kormány 02-77/2017. számú és 2017.05.30-i keltezésű határozatának értelmében, az altitkár és a tartományi titkársegédek 2017. júnis 1-jétől megbízott státusban látják el tisztségeiket.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CD7D99" w:rsidRPr="00CD7D99" w:rsidTr="00CD7D99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CD7D99" w:rsidRPr="00CD7D99" w:rsidTr="00CD7D99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CD7D99" w:rsidRPr="00CD7D99" w:rsidTr="00CD7D99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285FB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A259ED" w:rsidRDefault="00A259ED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A259ED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CD7D99" w:rsidRPr="00CD7D99" w:rsidTr="00CD7D99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CD7D99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5</w:t>
            </w: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77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A259ED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A259ED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285FB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DE6B5A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Pénzügyi Titkárság besorolt és be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töltött munkaköreinek elosztása.</w:t>
      </w:r>
    </w:p>
    <w:p w:rsidR="00CD7D99" w:rsidRDefault="00CD7D99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DE6B5A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DE6B5A" w:rsidRPr="00CD7D99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FD5733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hyperlink r:id="rId33" w:history="1">
        <w:r w:rsidRPr="00774DA3">
          <w:rPr>
            <w:rStyle w:val="Hyperlink"/>
            <w:rFonts w:ascii="Calibri" w:eastAsia="Calibri" w:hAnsi="Calibri" w:cs="Times New Roman"/>
            <w:szCs w:val="24"/>
          </w:rPr>
          <w:t>vlado.kantar@vojvodina.gov.rs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vel kapcsolatos normatív-jogi,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9B357B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4511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CD7D99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="009B357B">
        <w:rPr>
          <w:rFonts w:ascii="Calibri" w:eastAsia="Times New Roman" w:hAnsi="Calibri" w:cs="Times New Roman"/>
          <w:noProof/>
          <w:szCs w:val="24"/>
          <w:lang w:val="hu-HU"/>
        </w:rPr>
        <w:t>zdasá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gi Teendők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CD7D99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</w:t>
      </w:r>
      <w:r w:rsidR="009B357B">
        <w:rPr>
          <w:rFonts w:ascii="Arial" w:eastAsia="Times New Roman" w:hAnsi="Arial" w:cs="Arial"/>
          <w:noProof/>
          <w:sz w:val="20"/>
          <w:szCs w:val="24"/>
          <w:lang w:val="sr-Latn-CS"/>
        </w:rPr>
        <w:t>s Gazdasági Fejlesztési Osztály.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</w:t>
      </w:r>
      <w:r w:rsidR="00A259ED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segédtitkár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A259ED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A259ED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Részleg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9B357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Főosztály szűkebb kö</w:t>
      </w:r>
      <w:r w:rsidR="009B357B">
        <w:rPr>
          <w:rFonts w:ascii="Calibri" w:eastAsia="Times New Roman" w:hAnsi="Calibri" w:cs="Times New Roman"/>
          <w:noProof/>
          <w:szCs w:val="24"/>
          <w:lang w:val="sr-Latn-CS"/>
        </w:rPr>
        <w:t>rű belső egységei a következők: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Pénzügyi Operatív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 és Fizetés-elszámolási Osztály</w:t>
      </w:r>
    </w:p>
    <w:p w:rsidR="00CD7D99" w:rsidRPr="00CD7D99" w:rsidRDefault="005527EC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Könyvviteli Osztály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8" w:name="_Toc465067348"/>
      <w:bookmarkStart w:id="9" w:name="_Toc274041990"/>
      <w:bookmarkStart w:id="10" w:name="_Toc274042118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8"/>
      <w:bookmarkEnd w:id="9"/>
      <w:bookmarkEnd w:id="1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FD5733" w:rsidRDefault="00FD5733" w:rsidP="00210C0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D5733" w:rsidRPr="00CD7D99" w:rsidRDefault="00FD5733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tartományi titkár helyettes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Željka Milošević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1" w:name="_Toc465067349"/>
      <w:bookmarkStart w:id="12" w:name="_Toc306363101"/>
      <w:bookmarkStart w:id="13" w:name="_Toc274041991"/>
      <w:bookmarkStart w:id="14" w:name="_Toc274042119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1"/>
      <w:bookmarkEnd w:id="12"/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3"/>
      <w:bookmarkEnd w:id="1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munkájának nyilvánossága, nyilvánosságának kizárása és korlátozása Az adatok titkosságáról szóló törvény (Az SZK Hivatalos Közlönye, 104/2009. szám) rendelkezései és a szóban forgó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 törvény végrehajtása érdekében meghozott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al jut.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5" w:name="_Toc465067350"/>
      <w:r w:rsidRPr="00CD7D99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5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7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CD7D99" w:rsidRPr="00C912B3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38" w:history="1">
        <w:r w:rsidRPr="00CD7D99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  <w:r w:rsidR="00C912B3">
        <w:rPr>
          <w:rFonts w:ascii="Calibri" w:eastAsia="Calibri" w:hAnsi="Calibri" w:cs="Times New Roman"/>
          <w:b/>
          <w:color w:val="0000FF"/>
          <w:szCs w:val="24"/>
          <w:u w:val="single"/>
        </w:rPr>
        <w:t xml:space="preserve"> </w:t>
      </w:r>
      <w:r w:rsidR="00C912B3">
        <w:rPr>
          <w:rFonts w:ascii="Calibri" w:eastAsia="Calibri" w:hAnsi="Calibri" w:cs="Times New Roman"/>
          <w:b/>
          <w:szCs w:val="24"/>
        </w:rPr>
        <w:t xml:space="preserve">és </w:t>
      </w:r>
      <w:hyperlink r:id="rId39" w:history="1">
        <w:r w:rsidR="00C912B3" w:rsidRPr="005877F2">
          <w:rPr>
            <w:rStyle w:val="Hyperlink"/>
            <w:rFonts w:ascii="Calibri" w:eastAsia="Calibri" w:hAnsi="Calibri" w:cs="Times New Roman"/>
            <w:b/>
            <w:szCs w:val="24"/>
          </w:rPr>
          <w:t>psfkabinet@vojvodina.gov.rs</w:t>
        </w:r>
      </w:hyperlink>
      <w:r w:rsidR="00C912B3">
        <w:rPr>
          <w:rFonts w:ascii="Calibri" w:eastAsia="Calibri" w:hAnsi="Calibri" w:cs="Times New Roman"/>
          <w:b/>
          <w:szCs w:val="24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3A063525" wp14:editId="1B31B1AC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8.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tekintettel arra, hogy a Tartományi Pénzügyi Titkárság egyszemélyi igazgatási szerv, a szóban forgó adatok a munkáról szóló tájékoztatóba való bejegyzésének kötelezettsége nem alkalmazható.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9.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Az állami szerv által használt objektumok és az állami szerv tevékenysége audio és video felvételezésének engedélyezése: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Pénzügyi Titkárság helyiségei a </w:t>
      </w:r>
      <w:bookmarkStart w:id="16" w:name="OLE_LINK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6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10.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Valamennyi autentikus tolmácsolás, szakvélemény és jogi állá</w:t>
      </w:r>
      <w:r w:rsidR="005527EC"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spont a munka nyilvánosságára,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a munka nyilvánosságának kizárására és korlátozására vonatkozó jogszabályok, szabályok és határozatok tekintetében: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nincsenek külö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n tolmácsolások, szakvélemények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és jogi álláspontok a Tartományi Pénzügyi Titkárság munkája nyilvánosságáról, munkája nyilvánosságának kizárásáról és korlátozásáról.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9B357B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r w:rsidRPr="00CD7D99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7" w:name="_Toc465067351"/>
      <w:bookmarkStart w:id="18" w:name="_Toc274041992"/>
      <w:bookmarkStart w:id="19" w:name="_Toc274042120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7"/>
      <w:bookmarkEnd w:id="18"/>
      <w:bookmarkEnd w:id="19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0" w:name="_Toc274041993"/>
      <w:bookmarkStart w:id="21" w:name="_Toc274042121"/>
      <w:r w:rsidRPr="00CD7D99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2" w:name="_Toc465067352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2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20"/>
      <w:bookmarkEnd w:id="21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3" w:name="OLE_LINK8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3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</w:t>
      </w:r>
      <w:r w:rsidR="00A91406">
        <w:rPr>
          <w:rFonts w:ascii="Calibri" w:eastAsia="Times New Roman" w:hAnsi="Calibri" w:cs="Times New Roman"/>
          <w:noProof/>
          <w:szCs w:val="24"/>
          <w:lang w:val="sr-Latn-CS"/>
        </w:rPr>
        <w:t>, 37/2016. és 29/2017.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 36. szakaszának rendelkezései szabályozzák.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közösségeivel, összehangolja az aktivitásokat az Európai Unió csatlakozási, strukturális és kohéziós alapjai eszközeinek sikeres felhasználása céljából Vajdaság Autonóm Tartományban.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4" w:name="_Toc465067353"/>
      <w:bookmarkStart w:id="25" w:name="_Toc274041994"/>
      <w:bookmarkStart w:id="26" w:name="_Toc274042122"/>
      <w:r w:rsidRPr="00CD7D99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4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5"/>
      <w:bookmarkEnd w:id="26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ételeit és jövedelmeit valamint kiadásait és költségeit,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és terjedelmét és intézkedéseit,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7" w:name="OLE_LINK9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3"/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g Munkavállalóinak Regiszterébe,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ébb előírt formanyomtatványokat,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 xml:space="preserve"> a pénztári ügyviteli teendőket,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teli nyilvántartásának teendőit,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irattárba helyezik a számvevőségi dokumentációt és más teendőket is ellátnak a törvénnyel és egyéb jogs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zabályokkal összhangban,</w:t>
      </w:r>
    </w:p>
    <w:p w:rsidR="00CD7D99" w:rsidRPr="00CD7D99" w:rsidRDefault="00C7696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e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államháztar</w:t>
      </w:r>
      <w:r w:rsidR="00687F21">
        <w:rPr>
          <w:rFonts w:ascii="Calibri" w:eastAsia="Times New Roman" w:hAnsi="Calibri" w:cs="Times New Roman"/>
          <w:i/>
          <w:noProof/>
          <w:szCs w:val="24"/>
          <w:lang w:val="sr-Latn-CS"/>
        </w:rPr>
        <w:t>tási és makrogazdasági elemzési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 teendők</w:t>
      </w:r>
      <w:bookmarkEnd w:id="28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724C38" w:rsidRDefault="00724C38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9" w:name="_Toc280945795"/>
    </w:p>
    <w:p w:rsidR="00CD7D99" w:rsidRPr="00CD7D99" w:rsidRDefault="00687F21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jogi </w:t>
      </w:r>
      <w:r w:rsidR="00CD7D99"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teendők és a pénzügyi szolgálat teendői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Egyéb teendők</w:t>
      </w:r>
      <w:bookmarkEnd w:id="29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0" w:name="_Toc465067354"/>
      <w:r w:rsidRPr="00CD7D99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3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rendeletek, 37/2016. és 29/2017.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Tartományi Kormányról (Vajdaság AT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Hivatalos Lapja, 37/2014.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belső szervezeti felépítés és a munkahelyek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besorolása elveinek részletes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szabályozásáról (VAT Hivatalos Lapja, 64/2016)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2013., 63/2013. –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, 108/2013., 142/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2014., 68/2015. – más törvény,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>103/2015.,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99/2016.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és 113/2017.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Z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 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>Hivatalos Közlönye, 21/2016., 113/2017. és  113/2017. szám – más törvényt)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és 79/2015.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-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általános közigazgatási eljárásról (Az SZK Hivatalos Közlönye, 18/2016. szám);</w:t>
      </w:r>
    </w:p>
    <w:p w:rsidR="00CD7D99" w:rsidRPr="00CD7D99" w:rsidRDefault="007D6875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2018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. évi költségvetésérő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l (Az SZK Hivatalos Közlönye, 113/2017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Vajdaság Autonóm Tartomány 2018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 évi költségve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>téséről (VAT Hivatalos Lapja, 57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/2017.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 finanszírozásáról (Az SZK Hivatalos Közlönye, 62/2006., 47/2011., 93/2012., 99/2013., 125/2014, 9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5/2015, 83/2016, 91/2016.,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104/2016.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törvény és 96/2017. szám – összehangolt dinár összeg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Az SZK Hivatalos Közlönye, 42/91., 71/94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., 79/2005. – más törvény, 81/2005. – helyreigazítás, más törvény, 83/2005. szám – helyreigazítás, más törvény és 83/2014.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, más törvény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532FA8" w:rsidRDefault="00532FA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fizetési rendszeréről (Az SZK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Hivatalos Közlönye, 18/2016.,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108/2016. 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és 113/2017.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maximális számának meghatározási módjáról (Az SZK Hivatalos Közlönye, 68/2015. és 81/2016. szám – AB határozata)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</w:t>
      </w:r>
      <w:r w:rsidR="00827BBB">
        <w:rPr>
          <w:rFonts w:ascii="Calibri" w:eastAsia="Times New Roman" w:hAnsi="Calibri" w:cs="Times New Roman"/>
          <w:noProof/>
          <w:szCs w:val="24"/>
          <w:lang w:val="sr-Latn-CS"/>
        </w:rPr>
        <w:t>a korrupcióellenes ügynökségről (Az SZK Hivatalos Közlönye, 97/2008., 53/2010., 66/2011. szám – AB határozata, 67/2013. szám – AB határozata, 112/2013. szám – autentikus magyarázat és 8/2015. szám – AB határozata)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Szerb Köztársaság állami és más ünnepeiről (Az SZK Hivatalos Közlönye, 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közeszközök felhaszná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lójánál a fizetés elszámolási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és kifizetés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i alapjának, illetve a fizetések és más állandó jövedelmek ideiglenes szabályzásáról (Az SZK Hivatalos Közlönye, 116/2014.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kereskedelmi tranzakciókban lévő pénzbeni kötelezettségek teljesítésének határidejéről (Az SZK H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ivatalos Közlönye, 119/2012.,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68/2015.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és 113/2017.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megkülönböztetés tiltásáról ( Az SZK Hivatalos Közlönye, 22/2009.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nemi egyenjogúságról (Az SZK Hivatalos Közlönye, 104/2009.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munkahelyi bántalmazás megakadályozásáról (Az SZK Hivatalos Közlönye, 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36/2010.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hatásköreinek megállapításáról (Az SZK Hivatalos Közlönye, 99/2009. és 67/2012. szám – AB határozata)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az adatok titkosságáról (Az SZK Hivatalos Közlönye, 104/2009. szám)</w:t>
      </w:r>
    </w:p>
    <w:p w:rsidR="00245D38" w:rsidRPr="00245D38" w:rsidRDefault="00245D38" w:rsidP="00245D3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izetésére szolgáló szorzószámról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(Az SZK Hivatalos Közlönye, 44/2008. – egységes szerkezetbe foglalt szöveg és 2/2012. szám);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állami hivatalnokok osztályozásáról (Az SZK Hivatalos Közlönye, 11/06. és 109/09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Az állami szervek külön kollektív szerződése (Az SZk Hivatalos Közlönye, 25/2015. és 50/2015. szám)</w:t>
      </w:r>
    </w:p>
    <w:p w:rsidR="00245D38" w:rsidRPr="00CD7D99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Vajdaság Autonóm Tartomány </w:t>
      </w:r>
      <w:r w:rsidR="00187FE8">
        <w:rPr>
          <w:rFonts w:ascii="Calibri" w:eastAsia="Times New Roman" w:hAnsi="Calibri" w:cs="Times New Roman"/>
          <w:noProof/>
          <w:szCs w:val="24"/>
          <w:lang w:val="sr-Latn-CS"/>
        </w:rPr>
        <w:t>szervei kollektív szerződése (Vajdaság AT Hivatalos Lapja, 8/2015., 46/2015. és 2/2016.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CD7D99" w:rsidRDefault="00CD7D99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44/2016, 61/2016. és 30/2017. szám);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állami hivatalnokok osztályozásáról (Az SZK Hivatalos Közlönye, 11/06. és 109/09. szám)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Rendelet az autonóm tartományokban és helyi önkormányzatokban a közalkalmazottak munkahelyei </w:t>
      </w:r>
      <w:r w:rsidR="00A12546">
        <w:rPr>
          <w:rFonts w:ascii="Calibri" w:eastAsia="Times New Roman" w:hAnsi="Calibri" w:cs="Times New Roman"/>
          <w:noProof/>
          <w:szCs w:val="24"/>
          <w:lang w:val="sr-Latn-CS"/>
        </w:rPr>
        <w:t>besorolásának kritériumairól és a munkaköri leírásai mércéiről (Az SZK Hivatalos Közlönye, 88/2016. szám)</w:t>
      </w:r>
    </w:p>
    <w:p w:rsidR="00A12546" w:rsidRDefault="00A12546" w:rsidP="00A1254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autonóm tartományokban és helyi önkormányzatokban a hivatalnokok munkahelyei besorolásának kritériumairól és a munkaköri leírásai mércéiről (Az SZK Hivatalos Közlönye, 88/2016. szám)</w:t>
      </w:r>
    </w:p>
    <w:p w:rsidR="00A12546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 közeszközök felhasználóinál az új foglalkoztatásra és a kiegészítő munka alkalmazásra vonatkozó jóváhagyás megszerzési eljárásáról (Az SZK Hivatalos Közlönye, 113/2013., 21/2014., 66/2014., 118/2014., 22/2015. és 59/2015. szám)</w:t>
      </w:r>
    </w:p>
    <w:p w:rsidR="00546E95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autonóm tartományokban és a helyi önkormányzatokban a munkahelyek betöltésére vonatkozó belső és nyilvános pályázatok lefolytatásáról (Az SZK Hivatalos Közlönye, 95/2016. szám)</w:t>
      </w:r>
    </w:p>
    <w:p w:rsidR="00546E95" w:rsidRPr="00187FE8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Munka törvénykönyve (Az SZK Hivatalos Közlönye, 24/2005., 61/2005., 54/2009., 32/2013., 75/2014. és 13/2017. szám – AB határozata)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</w:t>
      </w:r>
      <w:r w:rsidR="00B07AEB">
        <w:rPr>
          <w:rFonts w:ascii="Calibri" w:eastAsia="Times New Roman" w:hAnsi="Calibri" w:cs="Times New Roman"/>
          <w:noProof/>
          <w:szCs w:val="24"/>
          <w:lang w:val="sr-Latn-CS"/>
        </w:rPr>
        <w:t>ye, 125/2003. és 12/2006.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állaigazgatási szerv irodai ügyviteléről (Az SZK Hivatalos Közlönye, 80/92., 45/2016. és 98/2016.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Utasítás az államigazgatási szerv irodai ügyviteléről (Az SZK Hivatalos Közlönye, 10/93., 14/93. szám – kiigazítás, 67/2016. és 3/2017.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ren</w:t>
      </w:r>
      <w:r w:rsidR="00E85FB4">
        <w:rPr>
          <w:rFonts w:ascii="Calibri" w:eastAsia="Times New Roman" w:hAnsi="Calibri" w:cs="Times New Roman"/>
          <w:noProof/>
          <w:szCs w:val="24"/>
          <w:lang w:val="sr-Latn-CS"/>
        </w:rPr>
        <w:t>dszerében foglalkoztatottak 2017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. évi maximális számáról (Vajdaság AT Hivatalo</w:t>
      </w:r>
      <w:r w:rsidR="00E85FB4">
        <w:rPr>
          <w:rFonts w:ascii="Calibri" w:eastAsia="Times New Roman" w:hAnsi="Calibri" w:cs="Times New Roman"/>
          <w:noProof/>
          <w:szCs w:val="24"/>
          <w:lang w:val="sr-Latn-CS"/>
        </w:rPr>
        <w:t>s Lapja, 54/2017.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Határozat a foglalkoztatottakról vezetett káder nyilvántartásról (Vajdaság AT Hivatalos Lapja, 5/2017.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Határozat a foglalkoztatott személyi 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>dossziéjáról (Vajdaság AT Hivatalos Lapja, 5/2017. szám)</w:t>
      </w:r>
    </w:p>
    <w:p w:rsidR="00873A9E" w:rsidRPr="00CD7D99" w:rsidRDefault="00E85FB4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 xml:space="preserve"> ta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rtományi szervek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köztisztviselőinek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és köza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>lkalmazottainak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viselkedési kódexe (Vajdaság AT Hivatalos Lapja, 54/2017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>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>, 16/2016, 49/2016, 107/2016.,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46/2017.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és 114/2017.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16/2016, 49/2016, 107/2016.,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46/2017. 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és 114/2017.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>ye, 118/2017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1" w:name="OLE_LINK1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2" w:name="OLE_LINK1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2"/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76966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bookmarkStart w:id="33" w:name="_Toc274042124"/>
      <w:bookmarkStart w:id="34" w:name="_Toc274041996"/>
      <w:r w:rsidRPr="00CD7D99">
        <w:rPr>
          <w:rFonts w:eastAsia="Times New Roman"/>
          <w:noProof/>
          <w:sz w:val="24"/>
          <w:szCs w:val="24"/>
          <w:lang w:val="sr-Latn-RS"/>
        </w:rPr>
        <w:t xml:space="preserve">10. </w:t>
      </w:r>
      <w:bookmarkStart w:id="35" w:name="_Toc465067355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3"/>
      <w:bookmarkEnd w:id="34"/>
      <w:bookmarkEnd w:id="35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6" w:name="OLE_LINK1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6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76966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bookmarkStart w:id="37" w:name="_Toc465067356"/>
      <w:r w:rsidRPr="00CD7D99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7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8" w:name="_Toc465067357"/>
      <w:bookmarkStart w:id="39" w:name="_Toc274041998"/>
      <w:bookmarkStart w:id="40" w:name="_Toc274042126"/>
      <w:r w:rsidRPr="00CD7D99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8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9"/>
      <w:bookmarkEnd w:id="4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/>
        <w:rPr>
          <w:rFonts w:ascii="Calibri" w:eastAsia="Calibri" w:hAnsi="Calibri" w:cs="Times New Roman"/>
        </w:rPr>
        <w:sectPr w:rsidR="00CD7D99" w:rsidRPr="00CD7D99">
          <w:pgSz w:w="12240" w:h="15840"/>
          <w:pgMar w:top="1440" w:right="1080" w:bottom="1440" w:left="1080" w:header="720" w:footer="720" w:gutter="0"/>
          <w:cols w:space="720"/>
        </w:sect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1" w:name="_Toc465067358"/>
      <w:r w:rsidRPr="00CD7D99">
        <w:rPr>
          <w:rFonts w:eastAsia="Times New Roman"/>
          <w:sz w:val="24"/>
          <w:szCs w:val="24"/>
          <w:lang w:val="hu-HU"/>
        </w:rPr>
        <w:t xml:space="preserve">13.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1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1"/>
        <w:gridCol w:w="400"/>
        <w:gridCol w:w="433"/>
        <w:gridCol w:w="504"/>
        <w:gridCol w:w="504"/>
        <w:gridCol w:w="6534"/>
        <w:gridCol w:w="1322"/>
        <w:gridCol w:w="1322"/>
        <w:gridCol w:w="690"/>
        <w:gridCol w:w="1322"/>
        <w:gridCol w:w="1322"/>
        <w:gridCol w:w="690"/>
      </w:tblGrid>
      <w:tr w:rsidR="00BB52D7" w:rsidRPr="00CD7D99" w:rsidTr="007D36A8">
        <w:trPr>
          <w:trHeight w:val="360"/>
          <w:jc w:val="center"/>
        </w:trPr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1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9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9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BB52D7" w:rsidRPr="00CD7D99" w:rsidTr="007D36A8">
        <w:trPr>
          <w:trHeight w:val="1065"/>
          <w:jc w:val="center"/>
        </w:trPr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9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8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2016. 12. 31. NAPJÁN MEGVALÓSÍTOTT KIADÁSOK</w:t>
            </w:r>
          </w:p>
        </w:tc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2017. ÉVI PÉNZÜGYI TERV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1161E3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2017. 12. 31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7D36A8">
        <w:trPr>
          <w:trHeight w:val="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7D36A8">
        <w:trPr>
          <w:trHeight w:val="393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52D7" w:rsidRPr="00CD7D99" w:rsidTr="007D36A8">
        <w:trPr>
          <w:trHeight w:val="266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161E3" w:rsidRPr="00CD7D99" w:rsidTr="007D36A8">
        <w:trPr>
          <w:trHeight w:val="37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1161E3" w:rsidRPr="001161E3" w:rsidRDefault="001161E3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1E3">
              <w:rPr>
                <w:rFonts w:ascii="Arial" w:hAnsi="Arial" w:cs="Arial"/>
                <w:b/>
                <w:bCs/>
                <w:sz w:val="16"/>
                <w:szCs w:val="16"/>
              </w:rPr>
              <w:t>86.810.661,84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1161E3" w:rsidRPr="001161E3" w:rsidRDefault="001161E3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1E3">
              <w:rPr>
                <w:rFonts w:ascii="Arial" w:hAnsi="Arial" w:cs="Arial"/>
                <w:b/>
                <w:bCs/>
                <w:sz w:val="16"/>
                <w:szCs w:val="16"/>
              </w:rPr>
              <w:t>81.242.015,76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1161E3" w:rsidRPr="00724C38" w:rsidRDefault="001161E3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82,16</w:t>
            </w:r>
          </w:p>
        </w:tc>
      </w:tr>
      <w:tr w:rsidR="001161E3" w:rsidRPr="00CD7D99" w:rsidTr="007D36A8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1161E3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1E3">
              <w:rPr>
                <w:rFonts w:ascii="Arial" w:hAnsi="Arial" w:cs="Arial"/>
                <w:sz w:val="16"/>
                <w:szCs w:val="16"/>
              </w:rPr>
              <w:t>86.810.661,84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1161E3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1E3">
              <w:rPr>
                <w:rFonts w:ascii="Arial" w:hAnsi="Arial" w:cs="Arial"/>
                <w:sz w:val="16"/>
                <w:szCs w:val="16"/>
              </w:rPr>
              <w:t>81.242.015,76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724C38" w:rsidRDefault="001161E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1161E3" w:rsidRPr="00CD7D99" w:rsidTr="007D36A8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1161E3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1E3">
              <w:rPr>
                <w:rFonts w:ascii="Arial" w:hAnsi="Arial" w:cs="Arial"/>
                <w:sz w:val="16"/>
                <w:szCs w:val="16"/>
              </w:rPr>
              <w:t>86.810.661,84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1161E3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1E3">
              <w:rPr>
                <w:rFonts w:ascii="Arial" w:hAnsi="Arial" w:cs="Arial"/>
                <w:sz w:val="16"/>
                <w:szCs w:val="16"/>
              </w:rPr>
              <w:t>81.242.015,76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724C38" w:rsidRDefault="001161E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1161E3" w:rsidRPr="00CD7D99" w:rsidTr="007D36A8">
        <w:trPr>
          <w:trHeight w:val="49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1161E3" w:rsidRPr="001161E3" w:rsidRDefault="001161E3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1E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15.539.106,09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1161E3" w:rsidRPr="001161E3" w:rsidRDefault="001161E3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1E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14.542.320,98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1161E3" w:rsidRPr="00724C38" w:rsidRDefault="001161E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82,16</w:t>
            </w:r>
          </w:p>
        </w:tc>
      </w:tr>
      <w:tr w:rsidR="001161E3" w:rsidRPr="00CD7D99" w:rsidTr="007D36A8">
        <w:trPr>
          <w:trHeight w:val="45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10.417.278,90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9.749.042,00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724C38" w:rsidRDefault="001161E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1161E3" w:rsidRPr="00CD7D99" w:rsidTr="007D36A8">
        <w:trPr>
          <w:trHeight w:val="40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10.417.278,90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9.749.042,00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724C38" w:rsidRDefault="001161E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1161E3" w:rsidRPr="00CD7D99" w:rsidTr="007D36A8">
        <w:trPr>
          <w:trHeight w:val="45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4.470.748,20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4.183.963,72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724C38" w:rsidRDefault="001161E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1161E3" w:rsidRPr="00CD7D99" w:rsidTr="007D36A8">
        <w:trPr>
          <w:trHeight w:val="39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4.470.748,20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4.183.963,72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724C38" w:rsidRDefault="001161E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1161E3" w:rsidRPr="00CD7D99" w:rsidTr="007D36A8">
        <w:trPr>
          <w:trHeight w:val="45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1E3" w:rsidRPr="00CD7D99" w:rsidRDefault="001161E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61E3" w:rsidRPr="00CD7D99" w:rsidRDefault="001161E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651.078,99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841545" w:rsidRDefault="001161E3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609.315,26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1E3" w:rsidRPr="00724C38" w:rsidRDefault="001161E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841545" w:rsidRPr="00CD7D99" w:rsidTr="007D36A8">
        <w:trPr>
          <w:trHeight w:val="37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651.078,99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609.315,26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841545" w:rsidRPr="00CD7D99" w:rsidTr="007D36A8">
        <w:trPr>
          <w:trHeight w:val="33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987.323,68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44,61</w:t>
            </w:r>
          </w:p>
        </w:tc>
      </w:tr>
      <w:tr w:rsidR="00841545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987.323,68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841545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987.323,68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841545" w:rsidRPr="00CD7D99" w:rsidTr="007D36A8">
        <w:trPr>
          <w:trHeight w:val="42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825.855,03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29,54</w:t>
            </w:r>
          </w:p>
        </w:tc>
      </w:tr>
      <w:tr w:rsidR="00BB52D7" w:rsidRPr="00CD7D99" w:rsidTr="007D36A8">
        <w:trPr>
          <w:trHeight w:val="45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7D99" w:rsidRPr="00CD7D99" w:rsidRDefault="00F8214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F8214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7D36A8">
        <w:trPr>
          <w:trHeight w:val="33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7D36A8">
        <w:trPr>
          <w:trHeight w:val="33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330"/>
          <w:jc w:val="center"/>
        </w:trPr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BB52D7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BB52D7" w:rsidRPr="00CD7D99" w:rsidTr="007D36A8">
        <w:trPr>
          <w:trHeight w:val="428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423.895,92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40,65</w:t>
            </w:r>
          </w:p>
        </w:tc>
      </w:tr>
      <w:tr w:rsidR="00BB52D7" w:rsidRPr="00CD7D99" w:rsidTr="007D36A8">
        <w:trPr>
          <w:trHeight w:val="163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423.895,92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38,69</w:t>
            </w:r>
          </w:p>
        </w:tc>
      </w:tr>
      <w:tr w:rsidR="00841545" w:rsidRPr="00CD7D99" w:rsidTr="007D36A8">
        <w:trPr>
          <w:trHeight w:val="34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sz w:val="16"/>
                <w:szCs w:val="16"/>
              </w:rPr>
              <w:t>1.652.228,72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77,63</w:t>
            </w:r>
          </w:p>
        </w:tc>
      </w:tr>
      <w:tr w:rsidR="00841545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1.652.228,72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77,63</w:t>
            </w:r>
          </w:p>
        </w:tc>
      </w:tr>
      <w:tr w:rsidR="00841545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1.652.228,72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77,63</w:t>
            </w:r>
          </w:p>
        </w:tc>
      </w:tr>
      <w:tr w:rsidR="00841545" w:rsidRPr="00CD7D99" w:rsidTr="007D36A8">
        <w:trPr>
          <w:trHeight w:val="48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486.078,38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82,30</w:t>
            </w:r>
          </w:p>
        </w:tc>
      </w:tr>
      <w:tr w:rsidR="00841545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486.078,38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841545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486.078,38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841545" w:rsidRPr="00CD7D99" w:rsidTr="007D36A8">
        <w:trPr>
          <w:trHeight w:val="274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32.470.000,00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27.245.990,22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62,51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31.880.000,00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26.993.758,44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62,92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31.880.000,00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26.993.758,44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62,92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252.231,78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39,46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252.231,78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39,46</w:t>
            </w:r>
          </w:p>
        </w:tc>
      </w:tr>
      <w:tr w:rsidR="00BB52D7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</w:t>
            </w:r>
            <w:r w:rsid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.1</w:t>
            </w:r>
            <w:r w:rsidR="00885A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24C38"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70,3</w:t>
            </w:r>
            <w:r w:rsidR="00C67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F91D71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F91D71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F91D71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353.156,26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70,39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F91D71" w:rsidRDefault="00841545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F91D71" w:rsidRDefault="00841545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F91D71" w:rsidRDefault="00841545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353.156,26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724C38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70,39</w:t>
            </w:r>
          </w:p>
        </w:tc>
      </w:tr>
      <w:tr w:rsidR="00BB52D7" w:rsidRPr="00CD7D99" w:rsidTr="007D36A8">
        <w:trPr>
          <w:trHeight w:val="27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27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1545" w:rsidRPr="00CD7D99" w:rsidTr="007D36A8">
        <w:trPr>
          <w:trHeight w:val="34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27.283.372,00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23.223.181,41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79,09</w:t>
            </w:r>
          </w:p>
        </w:tc>
      </w:tr>
      <w:tr w:rsidR="00841545" w:rsidRPr="00CD7D99" w:rsidTr="007D36A8">
        <w:trPr>
          <w:trHeight w:val="27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41545" w:rsidRPr="00CD7D99" w:rsidTr="007D36A8">
        <w:trPr>
          <w:trHeight w:val="27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41545" w:rsidRPr="00CD7D99" w:rsidTr="007D36A8">
        <w:trPr>
          <w:trHeight w:val="270"/>
          <w:jc w:val="center"/>
        </w:trPr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580.128,00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41545" w:rsidRPr="00CD7D99" w:rsidTr="007D36A8">
        <w:trPr>
          <w:trHeight w:val="27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580.128,00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7D36A8">
        <w:trPr>
          <w:trHeight w:val="27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1545" w:rsidRPr="00CD7D99" w:rsidTr="007D36A8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439.769,40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72,04</w:t>
            </w:r>
          </w:p>
        </w:tc>
      </w:tr>
      <w:tr w:rsidR="00841545" w:rsidRPr="00CD7D99" w:rsidTr="007D36A8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439.769,40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72,04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</w:t>
            </w:r>
            <w:r w:rsidRPr="00E901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</w:t>
            </w:r>
            <w:r w:rsidRPr="00E901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24.883.372,00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841545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545">
              <w:rPr>
                <w:rFonts w:ascii="Arial" w:hAnsi="Arial" w:cs="Arial"/>
                <w:sz w:val="16"/>
                <w:szCs w:val="16"/>
              </w:rPr>
              <w:t>22.035.368,01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80,94</w:t>
            </w:r>
          </w:p>
        </w:tc>
      </w:tr>
      <w:tr w:rsidR="00841545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CD7D99" w:rsidRDefault="00841545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576EDE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10.383.372,00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576EDE" w:rsidRDefault="00841545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7.035.368,01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1545" w:rsidRPr="00E901ED" w:rsidRDefault="0084154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64,07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92,05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67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  <w:r w:rsidR="00C67C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7D36A8">
        <w:trPr>
          <w:trHeight w:val="227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E901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7D36A8">
        <w:trPr>
          <w:trHeight w:val="13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E901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CD7D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7D36A8">
        <w:trPr>
          <w:trHeight w:val="2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2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2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6EDE" w:rsidRPr="00CD7D99" w:rsidTr="007D36A8">
        <w:trPr>
          <w:trHeight w:val="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6E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6E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2.608.879,81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78,38</w:t>
            </w:r>
          </w:p>
        </w:tc>
      </w:tr>
      <w:tr w:rsidR="00576EDE" w:rsidRPr="00CD7D99" w:rsidTr="007D36A8">
        <w:trPr>
          <w:trHeight w:val="34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576EDE" w:rsidRPr="00CD7D99" w:rsidTr="007D36A8">
        <w:trPr>
          <w:trHeight w:val="34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576EDE" w:rsidRPr="00CD7D99" w:rsidTr="007D36A8">
        <w:trPr>
          <w:trHeight w:val="42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2.594.299,81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85,22</w:t>
            </w:r>
          </w:p>
        </w:tc>
      </w:tr>
      <w:tr w:rsidR="00576EDE" w:rsidRPr="00CD7D99" w:rsidTr="007D36A8">
        <w:trPr>
          <w:trHeight w:val="42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2.594.299,81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85,22</w:t>
            </w:r>
          </w:p>
        </w:tc>
      </w:tr>
      <w:tr w:rsidR="00BB52D7" w:rsidRPr="00CD7D99" w:rsidTr="007D36A8">
        <w:trPr>
          <w:trHeight w:val="37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6EDE" w:rsidRPr="00CD7D99" w:rsidTr="007D36A8">
        <w:trPr>
          <w:trHeight w:val="37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6E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6E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10.469.905,94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75,31</w:t>
            </w:r>
          </w:p>
        </w:tc>
      </w:tr>
      <w:tr w:rsidR="00576EDE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10.469.905,94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75,31</w:t>
            </w:r>
          </w:p>
        </w:tc>
      </w:tr>
      <w:tr w:rsidR="00576EDE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10.469.905,94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75,31</w:t>
            </w:r>
          </w:p>
        </w:tc>
      </w:tr>
      <w:tr w:rsidR="00576EDE" w:rsidRPr="00CD7D99" w:rsidTr="007D36A8">
        <w:trPr>
          <w:trHeight w:val="37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6E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6E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4.030,00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4,57</w:t>
            </w:r>
          </w:p>
        </w:tc>
      </w:tr>
      <w:tr w:rsidR="00576EDE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4.030,00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576EDE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4.030,00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576EDE" w:rsidRPr="00CD7D99" w:rsidTr="007D36A8">
        <w:trPr>
          <w:trHeight w:val="27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76EDE" w:rsidRPr="00CD7D99" w:rsidTr="007D36A8">
        <w:trPr>
          <w:trHeight w:val="27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CD7D99" w:rsidRDefault="00576ED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576EDE" w:rsidRDefault="00576EDE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E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6EDE" w:rsidRPr="00E901ED" w:rsidRDefault="00576ED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45D3C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CD7D99" w:rsidRDefault="00D45D3C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CD7D99" w:rsidRDefault="00D45D3C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CD7D99" w:rsidRDefault="00D45D3C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E901ED" w:rsidRDefault="00D45D3C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D45D3C" w:rsidRDefault="00D45D3C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5D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1.624.326,51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45D3C" w:rsidRPr="00E901ED" w:rsidRDefault="00D45D3C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46,56</w:t>
            </w:r>
          </w:p>
        </w:tc>
      </w:tr>
      <w:tr w:rsidR="00D45D3C" w:rsidRPr="00CD7D99" w:rsidTr="007D36A8">
        <w:trPr>
          <w:trHeight w:val="22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45D3C" w:rsidRPr="00CD7D99" w:rsidRDefault="00D45D3C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45D3C" w:rsidRPr="00CD7D99" w:rsidRDefault="00D45D3C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45D3C" w:rsidRPr="00CD7D99" w:rsidRDefault="00D45D3C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45D3C" w:rsidRPr="00E901ED" w:rsidRDefault="00D45D3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45D3C" w:rsidRPr="00D45D3C" w:rsidRDefault="00D45D3C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D3C">
              <w:rPr>
                <w:rFonts w:ascii="Arial" w:hAnsi="Arial" w:cs="Arial"/>
                <w:sz w:val="16"/>
                <w:szCs w:val="16"/>
              </w:rPr>
              <w:t>1.624.326,51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45D3C" w:rsidRPr="00E901ED" w:rsidRDefault="00D45D3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46,56</w:t>
            </w:r>
          </w:p>
        </w:tc>
      </w:tr>
      <w:tr w:rsidR="00BB52D7" w:rsidRPr="00CD7D99" w:rsidTr="007D36A8">
        <w:trPr>
          <w:trHeight w:val="24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D45D3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D3C">
              <w:rPr>
                <w:rFonts w:ascii="Arial" w:hAnsi="Arial" w:cs="Arial"/>
                <w:sz w:val="16"/>
                <w:szCs w:val="16"/>
                <w:lang w:val="sr-Latn-CS"/>
              </w:rPr>
              <w:t>1.624.326,51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46,5</w:t>
            </w:r>
            <w:r w:rsidR="00822A9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B52D7" w:rsidRPr="00CD7D99" w:rsidTr="007D36A8">
        <w:trPr>
          <w:trHeight w:val="24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  <w:r w:rsidR="00E901ED"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167.0</w:t>
            </w:r>
            <w:r w:rsidR="00E901ED"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68,19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167.0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76,98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68,19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167.0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76,98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68,19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183" w:type="pct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5D3C" w:rsidRPr="00CD7D99" w:rsidTr="007D36A8">
        <w:trPr>
          <w:trHeight w:val="214"/>
          <w:jc w:val="center"/>
        </w:trPr>
        <w:tc>
          <w:tcPr>
            <w:tcW w:w="3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CD7D99" w:rsidRDefault="00D45D3C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CD7D99" w:rsidRDefault="00D45D3C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CD7D99" w:rsidRDefault="00D45D3C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CD7D99" w:rsidRDefault="00D45D3C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D45D3C" w:rsidRDefault="00D45D3C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5D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187.920.357,99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D45D3C" w:rsidRDefault="00D45D3C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5D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165.432.369,68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45D3C" w:rsidRPr="00E901ED" w:rsidRDefault="00D014E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88,03</w:t>
            </w:r>
          </w:p>
        </w:tc>
      </w:tr>
      <w:tr w:rsidR="00BB52D7" w:rsidRPr="00CD7D99" w:rsidTr="007D36A8">
        <w:trPr>
          <w:trHeight w:val="48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014E9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sz w:val="16"/>
                <w:szCs w:val="16"/>
              </w:rPr>
              <w:t>35.758.521,29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E901ED" w:rsidRDefault="00D014E9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E901ED" w:rsidRDefault="00D014E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4E9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5.258.521,29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E901ED" w:rsidRDefault="00D014E9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E901ED" w:rsidRDefault="00D014E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4E9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5.258.521,29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E901ED" w:rsidRDefault="00D014E9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E901ED" w:rsidRDefault="00D014E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7D36A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4E9" w:rsidRPr="00CD7D99" w:rsidTr="007D36A8">
        <w:trPr>
          <w:trHeight w:val="264"/>
          <w:jc w:val="center"/>
        </w:trPr>
        <w:tc>
          <w:tcPr>
            <w:tcW w:w="32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50.615.879,07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14.857.357,78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29,35</w:t>
            </w:r>
          </w:p>
        </w:tc>
      </w:tr>
      <w:tr w:rsidR="00BB52D7" w:rsidRPr="00CD7D99" w:rsidTr="007D36A8">
        <w:trPr>
          <w:trHeight w:val="432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014E9" w:rsidRPr="00CD7D99" w:rsidTr="007D36A8">
        <w:trPr>
          <w:trHeight w:val="25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181.439.689,02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93,40</w:t>
            </w:r>
          </w:p>
        </w:tc>
      </w:tr>
      <w:tr w:rsidR="00D014E9" w:rsidRPr="00CD7D99" w:rsidTr="007D36A8">
        <w:trPr>
          <w:trHeight w:val="40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121.895.861,25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113.548.550,16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93,15</w:t>
            </w:r>
          </w:p>
        </w:tc>
      </w:tr>
      <w:tr w:rsidR="00D014E9" w:rsidRPr="00CD7D99" w:rsidTr="007D36A8">
        <w:trPr>
          <w:trHeight w:val="39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121.895.861,25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113.548.550,16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93,15</w:t>
            </w:r>
          </w:p>
        </w:tc>
      </w:tr>
      <w:tr w:rsidR="00BB52D7" w:rsidRPr="00CD7D99" w:rsidTr="007D36A8">
        <w:trPr>
          <w:trHeight w:val="39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014E9" w:rsidRPr="00CD7D99" w:rsidTr="007D36A8">
        <w:trPr>
          <w:trHeight w:val="39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72.372.032,27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67.891.138,86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93,81</w:t>
            </w:r>
          </w:p>
        </w:tc>
      </w:tr>
      <w:tr w:rsidR="00D014E9" w:rsidRPr="00CD7D99" w:rsidTr="007D36A8">
        <w:trPr>
          <w:trHeight w:val="45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72.372.032,27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67.891.138,86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93,81</w:t>
            </w:r>
          </w:p>
        </w:tc>
      </w:tr>
      <w:tr w:rsidR="00BB52D7" w:rsidRPr="00CD7D99" w:rsidTr="007D36A8">
        <w:trPr>
          <w:trHeight w:val="40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A05A1F" w:rsidP="00A05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3.195.602.995,84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D014E9" w:rsidP="00DE6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3.180.343.704,32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D014E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99,52</w:t>
            </w:r>
          </w:p>
        </w:tc>
      </w:tr>
      <w:tr w:rsidR="00BB52D7" w:rsidRPr="00CD7D99" w:rsidTr="007D36A8">
        <w:trPr>
          <w:trHeight w:val="40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2.745.602.995,84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E901ED" w:rsidRDefault="00D014E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2.730.343.704,32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E901ED" w:rsidRDefault="00D014E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99,44</w:t>
            </w:r>
          </w:p>
        </w:tc>
      </w:tr>
      <w:tr w:rsidR="00D014E9" w:rsidRPr="00CD7D99" w:rsidTr="007D36A8">
        <w:trPr>
          <w:trHeight w:val="39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E901ED" w:rsidRDefault="00D014E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318.099.009,34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302.839.776,22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95,20</w:t>
            </w:r>
          </w:p>
        </w:tc>
      </w:tr>
      <w:tr w:rsidR="00BB52D7" w:rsidRPr="00CD7D99" w:rsidTr="007D36A8">
        <w:trPr>
          <w:trHeight w:val="39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A05A1F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2.124.888.534,87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A05A1F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2.124.888.476,47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  <w:r w:rsidR="00A05A1F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100,00</w:t>
            </w:r>
          </w:p>
        </w:tc>
      </w:tr>
      <w:tr w:rsidR="00BB52D7" w:rsidRPr="00CD7D99" w:rsidTr="007D36A8">
        <w:trPr>
          <w:trHeight w:val="296"/>
          <w:jc w:val="center"/>
        </w:trPr>
        <w:tc>
          <w:tcPr>
            <w:tcW w:w="32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252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8610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302.615.451,63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8610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302.615.451,63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8610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B52D7" w:rsidRPr="00CD7D99" w:rsidTr="007D36A8">
        <w:trPr>
          <w:trHeight w:val="45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BB52D7" w:rsidRPr="00CD7D99" w:rsidTr="007D36A8">
        <w:trPr>
          <w:trHeight w:val="34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4E2212" w:rsidP="00BB52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4E2212" w:rsidP="00BB52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4E2212" w:rsidP="00BB52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1B45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B52D7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  <w:r w:rsidR="004E2212">
              <w:rPr>
                <w:rFonts w:ascii="Arial" w:hAnsi="Arial" w:cs="Arial"/>
                <w:sz w:val="16"/>
                <w:szCs w:val="16"/>
              </w:rPr>
              <w:t>139.605.950,34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  <w:r w:rsidR="004E2212">
              <w:rPr>
                <w:rFonts w:ascii="Arial" w:hAnsi="Arial" w:cs="Arial"/>
                <w:sz w:val="16"/>
                <w:szCs w:val="16"/>
              </w:rPr>
              <w:t>139.605.950,34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4E2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  <w:r w:rsidR="004E221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B52D7" w:rsidRPr="00CD7D99" w:rsidTr="007D36A8">
        <w:trPr>
          <w:trHeight w:val="64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D014E9" w:rsidRDefault="004E2212" w:rsidP="00DE6B5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sz w:val="16"/>
                <w:szCs w:val="16"/>
              </w:rPr>
              <w:t>3.389.870.889,36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D014E9" w:rsidRDefault="00D014E9" w:rsidP="00DE6B5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sz w:val="16"/>
                <w:szCs w:val="16"/>
              </w:rPr>
              <w:t>3.361.783.393,34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D014E9" w:rsidRDefault="00D014E9" w:rsidP="00DE6B5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sz w:val="16"/>
                <w:szCs w:val="16"/>
              </w:rPr>
              <w:t>99,17</w:t>
            </w:r>
          </w:p>
        </w:tc>
      </w:tr>
      <w:tr w:rsidR="00BB52D7" w:rsidRPr="00CD7D99" w:rsidTr="007D36A8">
        <w:trPr>
          <w:trHeight w:val="345"/>
          <w:jc w:val="center"/>
        </w:trPr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014E9" w:rsidRPr="00CD7D99" w:rsidTr="007D36A8">
        <w:trPr>
          <w:trHeight w:val="37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8.354.137.253,59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8.197.286.988,67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98,12</w:t>
            </w:r>
          </w:p>
        </w:tc>
      </w:tr>
      <w:tr w:rsidR="00D014E9" w:rsidRPr="00CD7D99" w:rsidTr="007D36A8">
        <w:trPr>
          <w:trHeight w:val="37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8.066.722.890,02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8.012.872.625,10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99,33</w:t>
            </w:r>
          </w:p>
        </w:tc>
      </w:tr>
      <w:tr w:rsidR="00BB52D7" w:rsidRPr="00CD7D99" w:rsidTr="007D36A8">
        <w:trPr>
          <w:trHeight w:val="705"/>
          <w:jc w:val="center"/>
        </w:trPr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4E9" w:rsidRPr="00CD7D99" w:rsidTr="007D36A8">
        <w:trPr>
          <w:trHeight w:val="42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8.066.722.890,02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8.012.872.625,10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99,33</w:t>
            </w:r>
          </w:p>
        </w:tc>
      </w:tr>
      <w:tr w:rsidR="00BB52D7" w:rsidRPr="00CD7D99" w:rsidTr="007D36A8">
        <w:trPr>
          <w:trHeight w:val="48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014E9" w:rsidRPr="00CD7D99" w:rsidTr="007D36A8">
        <w:trPr>
          <w:trHeight w:val="33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287.414.363,57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184.414.363,57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64,16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282.414.363,57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179.414.363,57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63,53</w:t>
            </w:r>
          </w:p>
        </w:tc>
      </w:tr>
      <w:tr w:rsidR="00D014E9" w:rsidRPr="00CD7D99" w:rsidTr="007D36A8">
        <w:trPr>
          <w:trHeight w:val="432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8.354.137.253,59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8.197.286.988,67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98,12</w:t>
            </w:r>
          </w:p>
        </w:tc>
      </w:tr>
      <w:tr w:rsidR="00BB52D7" w:rsidRPr="00CD7D99" w:rsidTr="007D36A8">
        <w:trPr>
          <w:trHeight w:val="432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7D36A8">
        <w:trPr>
          <w:trHeight w:val="276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E12A2" w:rsidRPr="00CD7D99" w:rsidTr="007D36A8">
        <w:trPr>
          <w:trHeight w:val="31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BB52D7" w:rsidRDefault="001E12A2" w:rsidP="00A259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2A2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2A2" w:rsidRPr="00CD7D99" w:rsidTr="007D36A8">
        <w:trPr>
          <w:trHeight w:val="33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A2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183" w:type="pct"/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12.634.965,64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12.634.465,64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8.669.334,56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8.668.834,56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8.669.334,56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8.668.834,56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266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183" w:type="pct"/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1E12A2" w:rsidRDefault="00D014E9" w:rsidP="00A25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15.304.084,65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sz w:val="16"/>
                <w:szCs w:val="16"/>
              </w:rPr>
              <w:t>15.303.084,65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99,99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1E12A2" w:rsidRDefault="00D014E9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15.291.810,36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15.290.810,36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1E12A2" w:rsidRDefault="00D014E9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15.291.810,36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15.290.810,36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1E12A2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E12A2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31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sz w:val="16"/>
                <w:szCs w:val="16"/>
              </w:rPr>
              <w:t>142.060.449,71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sz w:val="16"/>
                <w:szCs w:val="16"/>
              </w:rPr>
              <w:t>142.059.449,70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76.173.204,60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76.172.704,60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76.173.204,60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76.172.704,60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65.887.245,11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65.886.745,10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285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65.887.245,11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65.886.745,10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14E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014E9" w:rsidRPr="00CD7D99" w:rsidTr="007D36A8">
        <w:trPr>
          <w:trHeight w:val="83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1E12A2" w:rsidRDefault="00D014E9" w:rsidP="00A25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sz w:val="16"/>
                <w:szCs w:val="16"/>
              </w:rPr>
              <w:t>16.999.000,00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15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1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99,99</w:t>
            </w:r>
          </w:p>
        </w:tc>
      </w:tr>
      <w:tr w:rsidR="004005E1" w:rsidRPr="00CD7D99" w:rsidTr="007D36A8">
        <w:trPr>
          <w:trHeight w:val="83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12.134.366,20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12.133.866,20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005E1" w:rsidRPr="00CD7D99" w:rsidTr="007D36A8">
        <w:trPr>
          <w:trHeight w:val="83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12.134.366,20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12.133.866,20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005E1" w:rsidRPr="00CD7D99" w:rsidTr="007D36A8">
        <w:trPr>
          <w:trHeight w:val="83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4.865.633,80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4.865.133,80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4005E1" w:rsidRPr="00CD7D99" w:rsidTr="007D36A8">
        <w:trPr>
          <w:trHeight w:val="83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4.865.633,80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4.865.133,80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1E12A2" w:rsidRPr="00CD7D99" w:rsidTr="007D36A8">
        <w:trPr>
          <w:trHeight w:val="83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1E12A2" w:rsidRDefault="004005E1" w:rsidP="00A25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13.000.5</w:t>
            </w:r>
            <w:r w:rsidR="001E12A2"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1E12A2" w:rsidRDefault="004005E1" w:rsidP="00A25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1E12A2"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999.000,01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1E12A2" w:rsidRDefault="001E12A2" w:rsidP="00A259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383"/>
        <w:gridCol w:w="359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551"/>
        <w:gridCol w:w="1441"/>
        <w:gridCol w:w="717"/>
        <w:gridCol w:w="717"/>
        <w:gridCol w:w="717"/>
        <w:gridCol w:w="488"/>
        <w:gridCol w:w="230"/>
        <w:gridCol w:w="705"/>
        <w:gridCol w:w="12"/>
        <w:gridCol w:w="717"/>
        <w:gridCol w:w="214"/>
        <w:gridCol w:w="503"/>
        <w:gridCol w:w="414"/>
        <w:gridCol w:w="310"/>
        <w:gridCol w:w="216"/>
        <w:gridCol w:w="510"/>
        <w:gridCol w:w="213"/>
        <w:gridCol w:w="510"/>
        <w:gridCol w:w="213"/>
        <w:gridCol w:w="519"/>
        <w:gridCol w:w="199"/>
        <w:gridCol w:w="1329"/>
        <w:gridCol w:w="1329"/>
        <w:gridCol w:w="771"/>
      </w:tblGrid>
      <w:tr w:rsidR="00CD7D99" w:rsidRPr="00CD7D99" w:rsidTr="001E12A2">
        <w:trPr>
          <w:gridAfter w:val="22"/>
          <w:wAfter w:w="11553" w:type="dxa"/>
          <w:trHeight w:val="37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Times New Roman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CD7D99" w:rsidRPr="00CD7D99" w:rsidTr="001E12A2">
        <w:trPr>
          <w:gridAfter w:val="22"/>
          <w:wAfter w:w="11553" w:type="dxa"/>
          <w:trHeight w:val="34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CD7D99">
              <w:rPr>
                <w:rFonts w:ascii="Calibri" w:eastAsia="Calibri" w:hAnsi="Calibri" w:cs="Arial"/>
                <w:sz w:val="16"/>
                <w:szCs w:val="16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CD7D99">
              <w:rPr>
                <w:rFonts w:ascii="Calibri" w:eastAsia="Calibri" w:hAnsi="Calibri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4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2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3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30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4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1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54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8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8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18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4005E1" w:rsidRPr="00CD7D99" w:rsidTr="001E12A2">
        <w:trPr>
          <w:gridAfter w:val="22"/>
          <w:wAfter w:w="11553" w:type="dxa"/>
          <w:trHeight w:val="336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5E1">
              <w:rPr>
                <w:rFonts w:ascii="Arial" w:hAnsi="Arial" w:cs="Arial"/>
                <w:b/>
                <w:bCs/>
                <w:sz w:val="16"/>
                <w:szCs w:val="16"/>
              </w:rPr>
              <w:t>12.182.544.380,01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5E1">
              <w:rPr>
                <w:rFonts w:ascii="Arial" w:hAnsi="Arial" w:cs="Arial"/>
                <w:b/>
                <w:bCs/>
                <w:sz w:val="16"/>
                <w:szCs w:val="16"/>
              </w:rPr>
              <w:t>11.939.355.109,47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5E1">
              <w:rPr>
                <w:rFonts w:ascii="Arial" w:hAnsi="Arial" w:cs="Arial"/>
                <w:b/>
                <w:bCs/>
                <w:sz w:val="16"/>
                <w:szCs w:val="16"/>
              </w:rPr>
              <w:t>98,00</w:t>
            </w:r>
          </w:p>
        </w:tc>
      </w:tr>
      <w:tr w:rsidR="00CD7D99" w:rsidRPr="00CD7D99" w:rsidTr="001E12A2">
        <w:trPr>
          <w:gridAfter w:val="4"/>
          <w:wAfter w:w="3628" w:type="dxa"/>
          <w:trHeight w:val="336"/>
        </w:trPr>
        <w:tc>
          <w:tcPr>
            <w:tcW w:w="15140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3428B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8" w:type="dxa"/>
            <w:gridSpan w:val="2"/>
          </w:tcPr>
          <w:p w:rsidR="00CD7D99" w:rsidRPr="00CD7D99" w:rsidRDefault="00CD7D99" w:rsidP="00CD7D99"/>
        </w:tc>
        <w:tc>
          <w:tcPr>
            <w:tcW w:w="717" w:type="dxa"/>
            <w:gridSpan w:val="2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  <w:gridSpan w:val="2"/>
          </w:tcPr>
          <w:p w:rsidR="00CD7D99" w:rsidRPr="00CD7D99" w:rsidRDefault="00CD7D99" w:rsidP="00CD7D99"/>
        </w:tc>
        <w:tc>
          <w:tcPr>
            <w:tcW w:w="724" w:type="dxa"/>
            <w:gridSpan w:val="2"/>
          </w:tcPr>
          <w:p w:rsidR="00CD7D99" w:rsidRPr="00CD7D99" w:rsidRDefault="00CD7D99" w:rsidP="00CD7D99"/>
        </w:tc>
        <w:tc>
          <w:tcPr>
            <w:tcW w:w="726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23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2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CD7D99" w:rsidRPr="00CD7D99" w:rsidTr="001E12A2">
        <w:trPr>
          <w:trHeight w:val="240"/>
        </w:trPr>
        <w:tc>
          <w:tcPr>
            <w:tcW w:w="1514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39" w:type="dxa"/>
            <w:gridSpan w:val="4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35" w:type="dxa"/>
            <w:gridSpan w:val="2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23" w:type="dxa"/>
            <w:gridSpan w:val="2"/>
          </w:tcPr>
          <w:p w:rsidR="00CD7D99" w:rsidRPr="00CD7D99" w:rsidRDefault="00CD7D99" w:rsidP="00CD7D99"/>
        </w:tc>
        <w:tc>
          <w:tcPr>
            <w:tcW w:w="723" w:type="dxa"/>
            <w:gridSpan w:val="2"/>
          </w:tcPr>
          <w:p w:rsidR="00CD7D99" w:rsidRPr="00CD7D99" w:rsidRDefault="00CD7D99" w:rsidP="00CD7D99"/>
        </w:tc>
        <w:tc>
          <w:tcPr>
            <w:tcW w:w="718" w:type="dxa"/>
            <w:gridSpan w:val="2"/>
          </w:tcPr>
          <w:p w:rsidR="00CD7D99" w:rsidRPr="00CD7D99" w:rsidRDefault="00CD7D99" w:rsidP="00CD7D99"/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902.962.874,71</w:t>
            </w:r>
          </w:p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193.625.342,42</w:t>
            </w:r>
          </w:p>
        </w:tc>
        <w:tc>
          <w:tcPr>
            <w:tcW w:w="771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21,44</w:t>
            </w:r>
          </w:p>
        </w:tc>
      </w:tr>
      <w:tr w:rsidR="004005E1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1.251.297.189,58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1.164.958.242,36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5E1">
              <w:rPr>
                <w:rFonts w:ascii="Arial" w:hAnsi="Arial" w:cs="Arial"/>
                <w:b/>
                <w:bCs/>
                <w:sz w:val="16"/>
                <w:szCs w:val="16"/>
              </w:rPr>
              <w:t>93,10</w:t>
            </w:r>
          </w:p>
        </w:tc>
      </w:tr>
      <w:tr w:rsidR="004005E1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5E1" w:rsidRPr="00CD7D99" w:rsidRDefault="004005E1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5E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D7D99" w:rsidRPr="00CD7D99" w:rsidTr="001E12A2">
        <w:trPr>
          <w:gridAfter w:val="22"/>
          <w:wAfter w:w="11553" w:type="dxa"/>
          <w:trHeight w:val="45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4005E1" w:rsidRPr="00CD7D99" w:rsidTr="001E12A2">
        <w:trPr>
          <w:gridAfter w:val="22"/>
          <w:wAfter w:w="11553" w:type="dxa"/>
          <w:trHeight w:val="645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8.349.137.253,59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8.192.286.988,67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5E1">
              <w:rPr>
                <w:rFonts w:ascii="Arial" w:hAnsi="Arial" w:cs="Arial"/>
                <w:b/>
                <w:bCs/>
                <w:sz w:val="16"/>
                <w:szCs w:val="16"/>
              </w:rPr>
              <w:t>98,12</w:t>
            </w:r>
          </w:p>
        </w:tc>
      </w:tr>
      <w:tr w:rsidR="00063D9E" w:rsidRPr="00CD7D99" w:rsidTr="001E12A2">
        <w:trPr>
          <w:gridAfter w:val="22"/>
          <w:wAfter w:w="11553" w:type="dxa"/>
          <w:trHeight w:val="542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32ED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3428B9" w:rsidRDefault="00EB32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3428B9" w:rsidRDefault="00EB32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3428B9" w:rsidRDefault="00EB32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EB32ED" w:rsidRDefault="00EB32ED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2ED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EB32ED" w:rsidRDefault="00EB32ED" w:rsidP="00A25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2ED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EB32ED" w:rsidRDefault="00EB32ED" w:rsidP="00A25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63D9E" w:rsidRPr="00CD7D99" w:rsidTr="001E12A2">
        <w:trPr>
          <w:gridAfter w:val="22"/>
          <w:wAfter w:w="11553" w:type="dxa"/>
          <w:trHeight w:val="42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762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63D9E" w:rsidRPr="00CD7D99" w:rsidTr="001E12A2">
        <w:trPr>
          <w:gridAfter w:val="22"/>
          <w:wAfter w:w="11553" w:type="dxa"/>
          <w:trHeight w:val="45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7D99" w:rsidRPr="00CD7D99" w:rsidTr="001E12A2">
        <w:trPr>
          <w:gridAfter w:val="22"/>
          <w:wAfter w:w="11553" w:type="dxa"/>
          <w:trHeight w:val="525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162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005E1" w:rsidRPr="00CD7D99" w:rsidTr="001E12A2">
        <w:trPr>
          <w:gridAfter w:val="22"/>
          <w:wAfter w:w="11553" w:type="dxa"/>
          <w:trHeight w:val="157"/>
        </w:trPr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CD7D99" w:rsidRDefault="004005E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3428B9" w:rsidRDefault="004005E1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5E1">
              <w:rPr>
                <w:rFonts w:ascii="Arial" w:hAnsi="Arial" w:cs="Arial"/>
                <w:b/>
                <w:bCs/>
                <w:sz w:val="16"/>
                <w:szCs w:val="16"/>
              </w:rPr>
              <w:t>12.182.544.380,01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05E1">
              <w:rPr>
                <w:rFonts w:ascii="Arial" w:hAnsi="Arial" w:cs="Arial"/>
                <w:sz w:val="16"/>
                <w:szCs w:val="16"/>
              </w:rPr>
              <w:t>11.939.355.109,47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005E1" w:rsidRPr="004005E1" w:rsidRDefault="004005E1" w:rsidP="001511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5E1">
              <w:rPr>
                <w:rFonts w:ascii="Arial" w:hAnsi="Arial" w:cs="Arial"/>
                <w:b/>
                <w:bCs/>
                <w:sz w:val="16"/>
                <w:szCs w:val="16"/>
              </w:rPr>
              <w:t>98,00</w:t>
            </w:r>
          </w:p>
        </w:tc>
      </w:tr>
    </w:tbl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CD7D99" w:rsidRPr="00CD7D99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</w:t>
      </w:r>
      <w:r w:rsidR="004005E1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Vajdaság AT 2018. évi költségvetéséről szóló tartományi képviselőházi rendelet, A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Vajdaság AT 2017. évi pótköltségvetéséről szóló tartományi képviselőházi rendelet</w:t>
      </w:r>
      <w:r w:rsidR="003428B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ek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, A Vajdaság AT 2017. évi költségvetéséről szóló tartományi képviselőházi rendelet, A Vajdaság AT 2016. évi költségvetéséről szóló tartományi képviselőházi rendelet</w:t>
      </w:r>
      <w:r w:rsidRPr="00CD7D99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</w:p>
    <w:p w:rsidR="00CD7D99" w:rsidRPr="00CD7D99" w:rsidRDefault="00E2182D" w:rsidP="00CD7D99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  <w:hyperlink r:id="rId41" w:history="1">
        <w:r w:rsidR="00CD7D99" w:rsidRPr="00CD7D99">
          <w:rPr>
            <w:rFonts w:ascii="Calibri" w:eastAsia="Times New Roman" w:hAnsi="Calibri" w:cs="Times New Roman"/>
            <w:noProof/>
            <w:u w:val="single"/>
            <w:lang w:val="sr-Cyrl-CS"/>
          </w:rPr>
          <w:t>http://www.psf.vojvodina.gov.rs/%d0%b1%d1%83%d1%9f%d0%b5%d1%82-%d0%b0%d0%bf%d0%b2-2016/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CD7D99" w:rsidRPr="00CD7D99" w:rsidRDefault="00E2182D" w:rsidP="00CD7D99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2" w:history="1">
        <w:r w:rsidR="00CD7D99"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http://www.psf.vojvodina.gov.rs/aktuelnosti/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2" w:name="_Toc465067359"/>
      <w:r w:rsidRPr="00CD7D99">
        <w:rPr>
          <w:rFonts w:eastAsia="Times New Roman"/>
          <w:sz w:val="24"/>
          <w:szCs w:val="24"/>
          <w:lang w:val="hu-HU"/>
        </w:rPr>
        <w:t xml:space="preserve">14.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közbeszerzésekről</w:t>
      </w:r>
      <w:bookmarkEnd w:id="42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smallCaps/>
          <w:noProof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CD7D99">
        <w:rPr>
          <w:rFonts w:ascii="Calibri" w:eastAsia="Times New Roman" w:hAnsi="Calibri" w:cs="Arial"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Arial"/>
          <w:b/>
          <w:noProof/>
          <w:lang w:val="hu-HU" w:eastAsia="sr-Cyrl-RS"/>
        </w:rPr>
        <w:t xml:space="preserve">2016. évi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közbeszerzési terv az alábbi honlapról tölthető le: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E2182D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hyperlink r:id="rId4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val="hu-HU" w:eastAsia="sr-Cyrl-RS"/>
          </w:rPr>
          <w:t>http://www.budzet.vojvodina.gov.rs/ps-za-finansije</w:t>
        </w:r>
      </w:hyperlink>
      <w:r w:rsidR="00CD7D99" w:rsidRPr="00CD7D99">
        <w:rPr>
          <w:rFonts w:ascii="Calibri" w:eastAsia="Times New Roman" w:hAnsi="Calibri" w:cs="Arial"/>
          <w:noProof/>
          <w:color w:val="0000FF"/>
          <w:u w:val="single"/>
          <w:lang w:val="hu-HU" w:eastAsia="sr-Cyrl-RS"/>
        </w:rPr>
        <w:t>-finansijski-plan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CD7D99">
        <w:rPr>
          <w:rFonts w:ascii="Calibri" w:eastAsia="Times New Roman" w:hAnsi="Calibri" w:cs="Arial"/>
          <w:noProof/>
          <w:lang w:val="hu-HU" w:eastAsia="sr-Cyrl-RS"/>
        </w:rPr>
        <w:t xml:space="preserve">  </w:t>
      </w:r>
      <w:r w:rsidRPr="00CD7D99">
        <w:rPr>
          <w:rFonts w:ascii="Calibri" w:eastAsia="Times New Roman" w:hAnsi="Calibri" w:cs="Arial"/>
          <w:b/>
          <w:noProof/>
          <w:lang w:val="hu-HU" w:eastAsia="sr-Cyrl-R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u w:val="single"/>
          <w:lang w:val="sr-Latn-CS"/>
        </w:rPr>
        <w:t>A 2016.01.01. és 2016.05.30.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 közötti időszakban az alábbi közbeszerzési eljárásokat bonyolítottuk le és az alábbi közbeszerzési szerződéseket kötöttük meg: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Calibri"/>
          <w:noProof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290.909,09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 w:rsidRPr="00CD7D99">
        <w:rPr>
          <w:rFonts w:ascii="Calibri" w:eastAsia="Times New Roman" w:hAnsi="Calibri" w:cs="Calibri"/>
          <w:noProof/>
          <w:lang w:val="sr-Latn-RS"/>
        </w:rPr>
        <w:t xml:space="preserve">VINČIĆ </w:t>
      </w:r>
      <w:r w:rsidRPr="00CD7D99">
        <w:rPr>
          <w:rFonts w:ascii="Calibri" w:eastAsia="Times New Roman" w:hAnsi="Calibri" w:cs="Calibri"/>
          <w:noProof/>
          <w:lang w:val="hu-HU"/>
        </w:rPr>
        <w:t>DOO ÚJBELGRÁD, a szerződés értéke 467.000,00 dinár ÁFA nélkül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u w:val="single"/>
          <w:lang w:val="sr-Latn-CS"/>
        </w:rPr>
        <w:t>A 2016.01.10. és 2016.12.31.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 közötti időszakban </w:t>
      </w:r>
      <w:r w:rsidRPr="00CD7D99">
        <w:rPr>
          <w:rFonts w:ascii="Calibri" w:eastAsia="Times New Roman" w:hAnsi="Calibri" w:cs="Calibri"/>
          <w:b/>
          <w:noProof/>
          <w:lang w:val="sr-Latn-CS"/>
        </w:rPr>
        <w:t>egy csekély értékű, licenciák fizetésével kapcsolatos közbeszerzési eljárást bonyolítottuk le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, éspedig az újvidéki POSITIV d.o.o.-val, melynek értéke 414.000,00 dinár Áfá-val. </w:t>
      </w:r>
    </w:p>
    <w:p w:rsidR="00CD7D99" w:rsidRPr="00CD7D99" w:rsidRDefault="00CD7D99" w:rsidP="00CD7D99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CD7D99" w:rsidRPr="00CD7D99" w:rsidTr="00CD7D99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CD7D99" w:rsidRPr="00CD7D99" w:rsidTr="00CD7D99">
        <w:tc>
          <w:tcPr>
            <w:tcW w:w="751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Külső könyvvizsgáló szolgáltatások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 w:rsidRPr="00CD7D99"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egy közbeszerzési eljárást bonyolítottunk le és megkötöttük a csekély értékű közbeszerzési szerződést, amely Vajdaság Autonóm Tartomány 2016. Évi költségvetésének zárszámadásának külső könyvvizsgálására vonatkozik, sorszáma: JNMB száma: 102-404-47/2017-02 – HLB DST – Revizija Kft. BELGRÁD, a szerződés értéke 360.000,00 dinár Áfa nélkül.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CD7D99">
        <w:rPr>
          <w:rFonts w:ascii="Calibri" w:eastAsia="Calibri" w:hAnsi="Calibri" w:cs="Calibri"/>
          <w:noProof/>
          <w:lang w:val="sr-Latn-C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3" w:name="_Toc465067360"/>
      <w:bookmarkStart w:id="44" w:name="_Toc274042002"/>
      <w:bookmarkStart w:id="45" w:name="_Toc274042130"/>
      <w:bookmarkStart w:id="46" w:name="_Toc401236208"/>
      <w:r w:rsidRPr="00CD7D99">
        <w:rPr>
          <w:rFonts w:eastAsia="Times New Roman"/>
          <w:sz w:val="24"/>
          <w:szCs w:val="24"/>
          <w:lang w:val="hu-HU"/>
        </w:rPr>
        <w:t xml:space="preserve">15.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2016.12.31-ig a költségvetési alap számlájára átutalt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758.644,91</w:t>
      </w:r>
      <w:r w:rsidR="009C5BE3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dinár.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="0052601B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2017.12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.3</w:t>
      </w:r>
      <w:r w:rsidR="0052601B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52601B">
        <w:rPr>
          <w:rFonts w:ascii="Calibri" w:eastAsia="Times New Roman" w:hAnsi="Calibri" w:cs="Times New Roman"/>
          <w:b/>
          <w:noProof/>
          <w:szCs w:val="24"/>
          <w:lang w:val="sr-Latn-CS"/>
        </w:rPr>
        <w:t>724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 w:rsidR="0052601B">
        <w:rPr>
          <w:rFonts w:ascii="Calibri" w:eastAsia="Times New Roman" w:hAnsi="Calibri" w:cs="Times New Roman"/>
          <w:b/>
          <w:noProof/>
          <w:szCs w:val="24"/>
          <w:lang w:val="sr-Latn-CS"/>
        </w:rPr>
        <w:t>762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="009C5BE3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dinár.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  <w:bookmarkStart w:id="47" w:name="_Toc465067361"/>
      <w:bookmarkStart w:id="48" w:name="_Toc284837783"/>
      <w:bookmarkEnd w:id="44"/>
      <w:bookmarkEnd w:id="45"/>
      <w:bookmarkEnd w:id="46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r w:rsidRPr="00CD7D99">
        <w:rPr>
          <w:rFonts w:eastAsia="Times New Roman"/>
          <w:sz w:val="24"/>
          <w:szCs w:val="24"/>
          <w:lang w:val="hu-HU"/>
        </w:rPr>
        <w:t xml:space="preserve">16.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7"/>
      <w:r w:rsidRPr="00CD7D99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8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CD7D99">
        <w:rPr>
          <w:rFonts w:ascii="Calibri" w:eastAsia="Times New Roman" w:hAnsi="Calibri" w:cs="Times New Roman"/>
          <w:smallCaps/>
          <w:lang w:val="sr-Latn-CS"/>
        </w:rPr>
        <w:t>Ad</w:t>
      </w:r>
      <w:r w:rsidR="00007367">
        <w:rPr>
          <w:rFonts w:ascii="Calibri" w:eastAsia="Times New Roman" w:hAnsi="Calibri" w:cs="Times New Roman"/>
          <w:smallCaps/>
          <w:lang w:val="sr-Latn-CS"/>
        </w:rPr>
        <w:t>atok a fi</w:t>
      </w:r>
      <w:r w:rsidR="0052601B">
        <w:rPr>
          <w:rFonts w:ascii="Calibri" w:eastAsia="Times New Roman" w:hAnsi="Calibri" w:cs="Times New Roman"/>
          <w:smallCaps/>
          <w:lang w:val="sr-Latn-CS"/>
        </w:rPr>
        <w:t>zetésekről a 2017. év DECEMBER</w:t>
      </w:r>
      <w:r w:rsidRPr="00CD7D99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</w:p>
    <w:tbl>
      <w:tblPr>
        <w:tblW w:w="425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456"/>
        <w:gridCol w:w="2181"/>
        <w:gridCol w:w="1907"/>
      </w:tblGrid>
      <w:tr w:rsidR="00CD7D99" w:rsidRPr="00CD7D99" w:rsidTr="003428B9">
        <w:trPr>
          <w:trHeight w:val="269"/>
          <w:jc w:val="center"/>
        </w:trPr>
        <w:tc>
          <w:tcPr>
            <w:tcW w:w="1596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hu-HU"/>
              </w:rPr>
              <w:t>RANG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1339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CD7D99" w:rsidRPr="00CD7D99" w:rsidTr="003428B9">
        <w:trPr>
          <w:trHeight w:val="269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CD7D99" w:rsidRPr="00CD7D99" w:rsidTr="003428B9">
        <w:trPr>
          <w:trHeight w:val="244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52601B" w:rsidRPr="00CD7D99" w:rsidTr="003428B9">
        <w:trPr>
          <w:trHeight w:val="51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CD7D99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52601B" w:rsidRPr="00CD7D99" w:rsidRDefault="0052601B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10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8</w:t>
            </w:r>
            <w:r w:rsidRPr="0052601B">
              <w:rPr>
                <w:rFonts w:ascii="Calibri" w:hAnsi="Calibri" w:cs="Arial"/>
                <w:lang w:val="en-GB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2</w:t>
            </w:r>
            <w:r w:rsidRPr="0052601B">
              <w:rPr>
                <w:rFonts w:ascii="Calibri" w:hAnsi="Calibri" w:cs="Arial"/>
                <w:lang w:val="en-GB"/>
              </w:rPr>
              <w:t>,3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10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842</w:t>
            </w:r>
            <w:r w:rsidRPr="0052601B">
              <w:rPr>
                <w:rFonts w:ascii="Calibri" w:hAnsi="Calibri" w:cs="Arial"/>
                <w:lang w:val="en-GB"/>
              </w:rPr>
              <w:t>,3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</w:p>
        </w:tc>
      </w:tr>
      <w:tr w:rsidR="0052601B" w:rsidRPr="00CD7D99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CD7D99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titkárhelyettes</w:t>
            </w:r>
          </w:p>
        </w:tc>
        <w:tc>
          <w:tcPr>
            <w:tcW w:w="89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01B" w:rsidRPr="00007367" w:rsidRDefault="0052601B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hu-HU"/>
              </w:rPr>
            </w:pPr>
            <w:r>
              <w:rPr>
                <w:rFonts w:ascii="Calibri" w:eastAsia="Times New Roman" w:hAnsi="Calibri" w:cs="Arial"/>
                <w:noProof/>
                <w:lang w:val="hu-HU"/>
              </w:rPr>
              <w:t>1</w:t>
            </w:r>
          </w:p>
        </w:tc>
        <w:tc>
          <w:tcPr>
            <w:tcW w:w="133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105.517,02</w:t>
            </w:r>
          </w:p>
        </w:tc>
        <w:tc>
          <w:tcPr>
            <w:tcW w:w="117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105.517,02</w:t>
            </w:r>
          </w:p>
        </w:tc>
      </w:tr>
      <w:tr w:rsidR="0052601B" w:rsidRPr="00302CE4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altitkár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9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  <w:lang w:val="en-GB"/>
              </w:rPr>
              <w:t>1</w:t>
            </w:r>
            <w:r w:rsidRPr="0052601B">
              <w:rPr>
                <w:rFonts w:ascii="Calibri" w:hAnsi="Calibri" w:cs="Arial"/>
                <w:lang w:val="sr-Cyrl-RS"/>
              </w:rPr>
              <w:t>4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93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</w:rPr>
              <w:t>9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</w:rPr>
              <w:t>1</w:t>
            </w:r>
            <w:r w:rsidRPr="0052601B">
              <w:rPr>
                <w:rFonts w:ascii="Calibri" w:hAnsi="Calibri" w:cs="Arial"/>
                <w:lang w:val="sr-Cyrl-RS"/>
              </w:rPr>
              <w:t>4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93</w:t>
            </w:r>
          </w:p>
        </w:tc>
      </w:tr>
      <w:tr w:rsidR="0052601B" w:rsidRPr="00302CE4" w:rsidTr="003428B9">
        <w:trPr>
          <w:trHeight w:val="514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segédtitikár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9</w:t>
            </w:r>
            <w:r w:rsidRPr="0052601B">
              <w:rPr>
                <w:rFonts w:ascii="Calibri" w:hAnsi="Calibri" w:cs="Arial"/>
                <w:lang w:val="sr-Cyrl-RS"/>
              </w:rPr>
              <w:t>7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63</w:t>
            </w:r>
            <w:r w:rsidRPr="0052601B">
              <w:rPr>
                <w:rFonts w:ascii="Calibri" w:hAnsi="Calibri" w:cs="Arial"/>
                <w:lang w:val="en-GB"/>
              </w:rPr>
              <w:t>3,</w:t>
            </w:r>
            <w:r w:rsidRPr="0052601B">
              <w:rPr>
                <w:rFonts w:ascii="Calibri" w:hAnsi="Calibri" w:cs="Arial"/>
                <w:lang w:val="sr-Cyrl-RS"/>
              </w:rPr>
              <w:t>17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3</w:t>
            </w:r>
            <w:r w:rsidRPr="0052601B">
              <w:rPr>
                <w:rFonts w:ascii="Calibri" w:hAnsi="Calibri" w:cs="Arial"/>
                <w:lang w:val="sr-Cyrl-RS"/>
              </w:rPr>
              <w:t>90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  <w:lang w:val="en-GB"/>
              </w:rPr>
              <w:t>3</w:t>
            </w:r>
            <w:r w:rsidRPr="0052601B">
              <w:rPr>
                <w:rFonts w:ascii="Calibri" w:hAnsi="Calibri" w:cs="Arial"/>
                <w:lang w:val="sr-Cyrl-RS"/>
              </w:rPr>
              <w:t>2</w:t>
            </w:r>
            <w:r w:rsidRPr="0052601B">
              <w:rPr>
                <w:rFonts w:ascii="Calibri" w:hAnsi="Calibri" w:cs="Arial"/>
                <w:lang w:val="en-GB"/>
              </w:rPr>
              <w:t>,6</w:t>
            </w:r>
            <w:r w:rsidRPr="0052601B">
              <w:rPr>
                <w:rFonts w:ascii="Calibri" w:hAnsi="Calibri" w:cs="Arial"/>
                <w:lang w:val="sr-Cyrl-RS"/>
              </w:rPr>
              <w:t>8</w:t>
            </w:r>
          </w:p>
        </w:tc>
      </w:tr>
      <w:tr w:rsidR="0052601B" w:rsidRPr="00302CE4" w:rsidTr="003428B9">
        <w:trPr>
          <w:trHeight w:val="522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hu-HU"/>
              </w:rPr>
              <w:t>6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7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  <w:lang w:val="en-GB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0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81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</w:rPr>
            </w:pPr>
            <w:r w:rsidRPr="0052601B">
              <w:rPr>
                <w:rFonts w:ascii="Calibri" w:hAnsi="Calibri" w:cs="Arial"/>
                <w:lang w:val="sr-Cyrl-RS"/>
              </w:rPr>
              <w:t>455.644,86</w:t>
            </w:r>
          </w:p>
        </w:tc>
      </w:tr>
      <w:tr w:rsidR="0052601B" w:rsidRPr="00302CE4" w:rsidTr="003428B9">
        <w:trPr>
          <w:trHeight w:val="51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önálló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12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58.833,79</w:t>
            </w:r>
            <w:r w:rsidRPr="0052601B">
              <w:rPr>
                <w:rFonts w:ascii="Calibri" w:hAnsi="Calibri" w:cs="Arial"/>
              </w:rPr>
              <w:t>-7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940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81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872.721,16</w:t>
            </w:r>
          </w:p>
        </w:tc>
      </w:tr>
      <w:tr w:rsidR="0052601B" w:rsidRPr="00302CE4" w:rsidTr="003428B9">
        <w:trPr>
          <w:trHeight w:val="51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3428B9">
            <w:pPr>
              <w:jc w:val="center"/>
              <w:rPr>
                <w:rFonts w:ascii="Calibri" w:hAnsi="Calibri" w:cs="Arial"/>
                <w:lang w:val="hu-HU"/>
              </w:rPr>
            </w:pPr>
            <w:r>
              <w:rPr>
                <w:rFonts w:ascii="Calibri" w:hAnsi="Calibri" w:cs="Arial"/>
                <w:lang w:val="sr-Cyrl-CS"/>
              </w:rPr>
              <w:t>2</w:t>
            </w:r>
            <w:r>
              <w:rPr>
                <w:rFonts w:ascii="Calibri" w:hAnsi="Calibri" w:cs="Arial"/>
                <w:lang w:val="hu-HU"/>
              </w:rPr>
              <w:t>2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50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459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73</w:t>
            </w:r>
            <w:r w:rsidRPr="0052601B">
              <w:rPr>
                <w:rFonts w:ascii="Calibri" w:hAnsi="Calibri" w:cs="Arial"/>
              </w:rPr>
              <w:t>-7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940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81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1.417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29</w:t>
            </w:r>
            <w:r w:rsidRPr="0052601B">
              <w:rPr>
                <w:rFonts w:ascii="Calibri" w:hAnsi="Calibri" w:cs="Arial"/>
              </w:rPr>
              <w:t>8,</w:t>
            </w:r>
            <w:r w:rsidRPr="0052601B">
              <w:rPr>
                <w:rFonts w:ascii="Calibri" w:hAnsi="Calibri" w:cs="Arial"/>
                <w:lang w:val="sr-Cyrl-RS"/>
              </w:rPr>
              <w:t>63</w:t>
            </w:r>
          </w:p>
        </w:tc>
      </w:tr>
      <w:tr w:rsidR="0052601B" w:rsidRPr="00302CE4" w:rsidTr="003428B9">
        <w:trPr>
          <w:trHeight w:val="49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hu-HU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095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95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</w:rPr>
              <w:t>1</w:t>
            </w:r>
            <w:r w:rsidRPr="0052601B">
              <w:rPr>
                <w:rFonts w:ascii="Calibri" w:hAnsi="Calibri" w:cs="Arial"/>
                <w:lang w:val="sr-Cyrl-RS"/>
              </w:rPr>
              <w:t>96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383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80</w:t>
            </w:r>
          </w:p>
        </w:tc>
      </w:tr>
      <w:tr w:rsidR="0052601B" w:rsidRPr="00302CE4" w:rsidTr="003428B9">
        <w:trPr>
          <w:trHeight w:val="50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004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62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405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041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58</w:t>
            </w:r>
          </w:p>
        </w:tc>
      </w:tr>
      <w:tr w:rsidR="0052601B" w:rsidRPr="00302CE4" w:rsidTr="003428B9">
        <w:trPr>
          <w:trHeight w:val="57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34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166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19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34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166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19</w:t>
            </w:r>
          </w:p>
        </w:tc>
      </w:tr>
      <w:tr w:rsidR="0052601B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főelőadó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31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271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15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281.440,</w:t>
            </w:r>
            <w:r w:rsidRPr="0052601B">
              <w:rPr>
                <w:rFonts w:ascii="Calibri" w:hAnsi="Calibri" w:cs="Arial"/>
              </w:rPr>
              <w:t>3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</w:p>
        </w:tc>
      </w:tr>
      <w:tr w:rsidR="0052601B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közalkalmazott – negyedik csoport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28.423,97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1511D3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28.423,97</w:t>
            </w:r>
          </w:p>
        </w:tc>
      </w:tr>
      <w:tr w:rsidR="00063D9E" w:rsidRPr="00CD7D99" w:rsidTr="003428B9">
        <w:trPr>
          <w:trHeight w:val="45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89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52601B" w:rsidRDefault="0052601B" w:rsidP="003428B9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>
              <w:rPr>
                <w:rFonts w:ascii="Calibri" w:hAnsi="Calibri" w:cs="Arial"/>
                <w:b/>
                <w:lang w:val="sr-Cyrl-RS"/>
              </w:rPr>
              <w:t>7</w:t>
            </w:r>
            <w:r>
              <w:rPr>
                <w:rFonts w:ascii="Calibri" w:hAnsi="Calibri" w:cs="Arial"/>
                <w:b/>
                <w:lang w:val="hu-HU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7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 w:rsidRPr="00302CE4">
              <w:rPr>
                <w:rFonts w:ascii="Calibri" w:hAnsi="Calibri" w:cs="Arial"/>
                <w:b/>
              </w:rPr>
              <w:t>4.</w:t>
            </w:r>
            <w:r w:rsidR="0052601B">
              <w:rPr>
                <w:rFonts w:ascii="Calibri" w:hAnsi="Calibri" w:cs="Arial"/>
                <w:b/>
                <w:lang w:val="hu-HU"/>
              </w:rPr>
              <w:t>393</w:t>
            </w:r>
            <w:r w:rsidRPr="00302CE4">
              <w:rPr>
                <w:rFonts w:ascii="Calibri" w:hAnsi="Calibri" w:cs="Arial"/>
                <w:b/>
              </w:rPr>
              <w:t>.</w:t>
            </w:r>
            <w:r w:rsidR="0052601B">
              <w:rPr>
                <w:rFonts w:ascii="Calibri" w:hAnsi="Calibri" w:cs="Arial"/>
                <w:b/>
                <w:lang w:val="hu-HU"/>
              </w:rPr>
              <w:t>927</w:t>
            </w:r>
            <w:r w:rsidR="0052601B">
              <w:rPr>
                <w:rFonts w:ascii="Calibri" w:hAnsi="Calibri" w:cs="Arial"/>
                <w:b/>
              </w:rPr>
              <w:t>,53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mallCaps/>
          <w:lang w:val="sr-Latn-C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>A 2016.</w:t>
      </w:r>
      <w:r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2017. </w:t>
      </w:r>
      <w:r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CD7D99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CD7D99" w:rsidRPr="00CD7D99" w:rsidTr="00CD7D99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2016.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4C733C" w:rsidP="00063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2017. ÉV  01.01. – 12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.3</w:t>
            </w: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1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CD7D99" w:rsidRPr="00CD7D99" w:rsidTr="00CD7D99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750</w:t>
            </w:r>
            <w:r w:rsidRPr="00CD7D99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450,00</w:t>
            </w: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42A0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/>
                <w:sz w:val="20"/>
                <w:szCs w:val="20"/>
                <w:lang w:val="sr-Cyrl-CS"/>
              </w:rPr>
              <w:t>152.506,17</w:t>
            </w:r>
          </w:p>
        </w:tc>
      </w:tr>
      <w:tr w:rsidR="003142A0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/>
                <w:sz w:val="20"/>
                <w:szCs w:val="20"/>
                <w:lang w:val="sr-Cyrl-CS"/>
              </w:rPr>
              <w:t>21.237,50</w:t>
            </w:r>
          </w:p>
        </w:tc>
      </w:tr>
      <w:tr w:rsidR="003142A0" w:rsidRPr="00CD7D99" w:rsidTr="00CD7D99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 w:cs="Calibri"/>
                <w:sz w:val="20"/>
                <w:szCs w:val="20"/>
                <w:lang w:val="sr-Cyrl-CS"/>
              </w:rPr>
              <w:t>23.772,00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3142A0" w:rsidRDefault="003142A0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/>
                <w:sz w:val="20"/>
                <w:szCs w:val="20"/>
                <w:lang w:val="sr-Cyrl-CS"/>
              </w:rPr>
              <w:t>39.608,01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D7D99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 w:cs="Calibri"/>
                <w:sz w:val="20"/>
                <w:szCs w:val="20"/>
                <w:lang w:val="sr-Cyrl-CS"/>
              </w:rPr>
              <w:t>21.819,50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 w:cs="Calibri"/>
                <w:sz w:val="20"/>
                <w:szCs w:val="20"/>
                <w:lang w:val="sr-Cyrl-CS"/>
              </w:rPr>
              <w:t>20.693,00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/>
                <w:sz w:val="20"/>
                <w:szCs w:val="20"/>
                <w:lang w:val="sr-Cyrl-CS"/>
              </w:rPr>
              <w:t>601.381,30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/>
                <w:sz w:val="20"/>
                <w:szCs w:val="20"/>
                <w:lang w:val="sr-Cyrl-CS"/>
              </w:rPr>
              <w:t>1.319.362,03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3142A0">
              <w:rPr>
                <w:rFonts w:ascii="Calibri" w:hAnsi="Calibri" w:cs="Calibri"/>
                <w:sz w:val="20"/>
                <w:szCs w:val="20"/>
                <w:lang w:val="sr-Cyrl-CS"/>
              </w:rPr>
              <w:t>79.418,00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-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foglal-koztatott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128.324,00</w:t>
            </w:r>
          </w:p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801BE0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140.664,75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9C5BE3" w:rsidRDefault="003142A0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 w:rsidRPr="003142A0">
              <w:rPr>
                <w:rFonts w:ascii="Calibri" w:hAnsi="Calibri"/>
                <w:sz w:val="20"/>
                <w:szCs w:val="20"/>
                <w:lang w:val="sr-Cyrl-CS"/>
              </w:rPr>
              <w:t>308.329,52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/>
                <w:sz w:val="20"/>
                <w:szCs w:val="20"/>
                <w:lang w:val="sr-Cyrl-CS"/>
              </w:rPr>
              <w:t>344.581,00</w:t>
            </w:r>
          </w:p>
        </w:tc>
      </w:tr>
      <w:tr w:rsidR="003142A0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3142A0" w:rsidP="001511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42A0">
              <w:rPr>
                <w:rFonts w:ascii="Calibri" w:hAnsi="Calibri"/>
                <w:sz w:val="20"/>
                <w:szCs w:val="20"/>
                <w:lang w:val="sr-Cyrl-CS"/>
              </w:rPr>
              <w:t>497.605,25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9C5BE3" w:rsidP="00DE6B5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hu-HU"/>
              </w:rPr>
              <w:t>3</w:t>
            </w:r>
            <w:r w:rsidR="00801BE0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.</w:t>
            </w:r>
            <w:r w:rsidR="003142A0">
              <w:rPr>
                <w:rFonts w:ascii="Calibri" w:hAnsi="Calibri" w:cs="Arial"/>
                <w:b/>
                <w:sz w:val="20"/>
                <w:szCs w:val="20"/>
                <w:lang w:val="hu-HU"/>
              </w:rPr>
              <w:t>842</w:t>
            </w:r>
            <w:r w:rsidR="00801BE0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.</w:t>
            </w:r>
            <w:r w:rsidR="003142A0">
              <w:rPr>
                <w:rFonts w:ascii="Calibri" w:hAnsi="Calibri" w:cs="Arial"/>
                <w:b/>
                <w:sz w:val="20"/>
                <w:szCs w:val="20"/>
                <w:lang w:val="hu-HU"/>
              </w:rPr>
              <w:t>872</w:t>
            </w:r>
            <w:r w:rsidR="00801BE0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,</w:t>
            </w:r>
            <w:r w:rsidR="003142A0">
              <w:rPr>
                <w:rFonts w:ascii="Calibri" w:hAnsi="Calibri" w:cs="Arial"/>
                <w:b/>
                <w:sz w:val="20"/>
                <w:szCs w:val="20"/>
                <w:lang w:val="hu-HU"/>
              </w:rPr>
              <w:t>03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CD7D99" w:rsidRPr="00CD7D99" w:rsidRDefault="00CD7D99" w:rsidP="00CD7D99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49" w:name="_Toc465067362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17.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4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CD7D99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</w:t>
      </w:r>
      <w:r w:rsidR="00F04DBC">
        <w:rPr>
          <w:rFonts w:ascii="Calibri" w:eastAsia="Times New Roman" w:hAnsi="Calibri" w:cs="Arial"/>
          <w:szCs w:val="24"/>
          <w:lang w:val="sr-Latn-CS" w:eastAsia="sr-Latn-RS"/>
        </w:rPr>
        <w:t>1</w:t>
      </w:r>
      <w:r w:rsidR="006C6C37">
        <w:rPr>
          <w:rFonts w:ascii="Calibri" w:eastAsia="Times New Roman" w:hAnsi="Calibri" w:cs="Arial"/>
          <w:szCs w:val="24"/>
          <w:lang w:val="sr-Latn-CS" w:eastAsia="sr-Latn-RS"/>
        </w:rPr>
        <w:t>, 3 kabinetirodát és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 xml:space="preserve"> irodát és két mellékhelyiséget használ. A titkárság által haszn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ált helyiségek teljes területe 8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03,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9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1 m</w:t>
      </w:r>
      <w:r w:rsidRPr="00CD7D99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ab/>
        <w:t>A Tartományi Pénzügyi Titkárság a Vajdaság Autonóm Tartomány tulajdonát képező ingó dolgokat is használja, éspedig: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CD7D99" w:rsidRPr="00CD7D99" w:rsidTr="00CD7D99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Mennyi-ség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2016.12.31-én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3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18.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4"/>
      <w:bookmarkStart w:id="52" w:name="_Toc274042005"/>
      <w:bookmarkStart w:id="53" w:name="_Toc274042133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19.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1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2"/>
      <w:bookmarkEnd w:id="5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CD7D99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4" w:name="_Toc465067365"/>
      <w:bookmarkStart w:id="55" w:name="_Toc274042006"/>
      <w:bookmarkStart w:id="56" w:name="_Toc274042134"/>
      <w:r w:rsidRPr="00CD7D99">
        <w:rPr>
          <w:rFonts w:eastAsia="Times New Roman"/>
          <w:sz w:val="24"/>
          <w:szCs w:val="24"/>
          <w:lang w:val="hu-HU" w:eastAsia="sr-Latn-RS"/>
        </w:rPr>
        <w:t xml:space="preserve">20.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4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5"/>
      <w:bookmarkEnd w:id="56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7" w:name="_Toc465067366"/>
      <w:bookmarkStart w:id="58" w:name="_Toc274042007"/>
      <w:bookmarkStart w:id="59" w:name="_Toc274042135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21.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7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8"/>
      <w:bookmarkEnd w:id="5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CD7D99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0" w:name="OLE_LINK13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1" w:name="clan_16"/>
      <w:bookmarkEnd w:id="6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2" w:name="clan_17"/>
      <w:bookmarkEnd w:id="6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CD7D99" w:rsidRPr="00CD7D99" w:rsidRDefault="00CD7D99" w:rsidP="00CD7D99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CD7D99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3" w:name="_Toc465067367"/>
      <w:bookmarkStart w:id="64" w:name="_Toc319064753"/>
      <w:r w:rsidRPr="00CD7D99">
        <w:rPr>
          <w:rFonts w:eastAsia="Times New Roman"/>
          <w:bCs/>
          <w:noProof/>
          <w:sz w:val="24"/>
          <w:szCs w:val="24"/>
          <w:lang w:val="hu-HU"/>
        </w:rPr>
        <w:t xml:space="preserve">22.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3"/>
      <w:bookmarkEnd w:id="6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t xml:space="preserve">Panasz a közérdekű információhoz való hozzáférés iránt benyújtott kérelem elutasításáról szóló határozatra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CD7D99">
        <w:rPr>
          <w:rFonts w:ascii="Calibri" w:eastAsia="Times New Roman" w:hAnsi="Calibri" w:cs="Times New Roman"/>
          <w:noProof/>
          <w:lang w:val="sr-Latn-CS"/>
        </w:rPr>
        <w:t>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CD7D99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t xml:space="preserve">Panasz a közérdekű információkhoz való hozzáférés iránt benyújtott kérelem szerinti eljárás elmaradása miatt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rPr>
          <w:rFonts w:ascii="Calibri" w:eastAsia="Calibri" w:hAnsi="Calibri" w:cs="Times New Roman"/>
        </w:rPr>
      </w:pPr>
    </w:p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73" w:rsidRDefault="00053373" w:rsidP="00CD7D99">
      <w:pPr>
        <w:spacing w:after="0" w:line="240" w:lineRule="auto"/>
      </w:pPr>
      <w:r>
        <w:separator/>
      </w:r>
    </w:p>
  </w:endnote>
  <w:endnote w:type="continuationSeparator" w:id="0">
    <w:p w:rsidR="00053373" w:rsidRDefault="00053373" w:rsidP="00CD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73" w:rsidRDefault="00053373" w:rsidP="00CD7D99">
      <w:pPr>
        <w:spacing w:after="0" w:line="240" w:lineRule="auto"/>
      </w:pPr>
      <w:r>
        <w:separator/>
      </w:r>
    </w:p>
  </w:footnote>
  <w:footnote w:type="continuationSeparator" w:id="0">
    <w:p w:rsidR="00053373" w:rsidRDefault="00053373" w:rsidP="00CD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ED" w:rsidRPr="008C3FC9" w:rsidRDefault="00A259ED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>
      <w:rPr>
        <w:rFonts w:eastAsia="Times New Roman"/>
        <w:noProof/>
        <w:sz w:val="18"/>
        <w:szCs w:val="18"/>
        <w:lang w:val="hu-HU"/>
      </w:rPr>
      <w:t xml:space="preserve">Szerb Köztársaság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A259ED" w:rsidRPr="008C3FC9" w:rsidRDefault="00A259ED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A259ED" w:rsidRPr="008C3FC9" w:rsidRDefault="00A259ED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A259ED" w:rsidRPr="008C3FC9" w:rsidRDefault="00A259ED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>.</w:t>
    </w:r>
    <w:r>
      <w:rPr>
        <w:rFonts w:eastAsia="Times New Roman"/>
        <w:noProof/>
        <w:sz w:val="18"/>
        <w:szCs w:val="18"/>
        <w:lang w:val="hu-HU"/>
      </w:rPr>
      <w:t xml:space="preserve"> december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31-ével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A259ED" w:rsidRDefault="00A25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99"/>
    <w:rsid w:val="0000367A"/>
    <w:rsid w:val="00007367"/>
    <w:rsid w:val="00053373"/>
    <w:rsid w:val="00063D9E"/>
    <w:rsid w:val="000E69A0"/>
    <w:rsid w:val="001161E3"/>
    <w:rsid w:val="00187FE8"/>
    <w:rsid w:val="001B456B"/>
    <w:rsid w:val="001D3F69"/>
    <w:rsid w:val="001E12A2"/>
    <w:rsid w:val="002076C5"/>
    <w:rsid w:val="00210C0B"/>
    <w:rsid w:val="00245D38"/>
    <w:rsid w:val="00272B63"/>
    <w:rsid w:val="00285FB9"/>
    <w:rsid w:val="00296E6D"/>
    <w:rsid w:val="002D01EA"/>
    <w:rsid w:val="002D051F"/>
    <w:rsid w:val="00302CE4"/>
    <w:rsid w:val="00312138"/>
    <w:rsid w:val="003142A0"/>
    <w:rsid w:val="003428B9"/>
    <w:rsid w:val="003E5063"/>
    <w:rsid w:val="004005E1"/>
    <w:rsid w:val="004C733C"/>
    <w:rsid w:val="004D2DB9"/>
    <w:rsid w:val="004E2212"/>
    <w:rsid w:val="00522E13"/>
    <w:rsid w:val="0052601B"/>
    <w:rsid w:val="00527FC6"/>
    <w:rsid w:val="00532FA8"/>
    <w:rsid w:val="00537870"/>
    <w:rsid w:val="00546E95"/>
    <w:rsid w:val="005527EC"/>
    <w:rsid w:val="00576EDE"/>
    <w:rsid w:val="005B39A4"/>
    <w:rsid w:val="005F5049"/>
    <w:rsid w:val="00687F21"/>
    <w:rsid w:val="006C6C37"/>
    <w:rsid w:val="006C7BE2"/>
    <w:rsid w:val="00724C38"/>
    <w:rsid w:val="00747EF9"/>
    <w:rsid w:val="007D36A8"/>
    <w:rsid w:val="007D6875"/>
    <w:rsid w:val="00801BE0"/>
    <w:rsid w:val="008110E4"/>
    <w:rsid w:val="00822A9B"/>
    <w:rsid w:val="00827BBB"/>
    <w:rsid w:val="00841545"/>
    <w:rsid w:val="00873A9E"/>
    <w:rsid w:val="00885A84"/>
    <w:rsid w:val="008E4CB8"/>
    <w:rsid w:val="008E6178"/>
    <w:rsid w:val="008F2D6C"/>
    <w:rsid w:val="00956BED"/>
    <w:rsid w:val="009B357B"/>
    <w:rsid w:val="009B4415"/>
    <w:rsid w:val="009C5BE3"/>
    <w:rsid w:val="00A05A1F"/>
    <w:rsid w:val="00A12546"/>
    <w:rsid w:val="00A17B40"/>
    <w:rsid w:val="00A259ED"/>
    <w:rsid w:val="00A60DC6"/>
    <w:rsid w:val="00A91406"/>
    <w:rsid w:val="00B07AEB"/>
    <w:rsid w:val="00B91866"/>
    <w:rsid w:val="00BA2D3F"/>
    <w:rsid w:val="00BB52D7"/>
    <w:rsid w:val="00C67C28"/>
    <w:rsid w:val="00C711EA"/>
    <w:rsid w:val="00C76966"/>
    <w:rsid w:val="00C912B3"/>
    <w:rsid w:val="00CB1914"/>
    <w:rsid w:val="00CD7D99"/>
    <w:rsid w:val="00D014E9"/>
    <w:rsid w:val="00D45D3C"/>
    <w:rsid w:val="00D665A1"/>
    <w:rsid w:val="00DE6B5A"/>
    <w:rsid w:val="00DF4F2D"/>
    <w:rsid w:val="00E2182D"/>
    <w:rsid w:val="00E6516C"/>
    <w:rsid w:val="00E85FB4"/>
    <w:rsid w:val="00E86107"/>
    <w:rsid w:val="00E901ED"/>
    <w:rsid w:val="00EB32ED"/>
    <w:rsid w:val="00EE4C40"/>
    <w:rsid w:val="00EF37AB"/>
    <w:rsid w:val="00F04DBC"/>
    <w:rsid w:val="00F3660D"/>
    <w:rsid w:val="00F82149"/>
    <w:rsid w:val="00FA2EC7"/>
    <w:rsid w:val="00FC0DAA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mailto:psfkabinet@vojvodina.gov.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hyperlink" Target="http://www.psf.vojvodina.gov.rs/aktuelnosti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@vojvodina.gov.rs" TargetMode="External"/><Relationship Id="rId38" Type="http://schemas.openxmlformats.org/officeDocument/2006/relationships/hyperlink" Target="mailto:vlado.kantar@vojvodina.gov.r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hyperlink" Target="http://www.psf.vojvodina.gov.rs/%d0%b1%d1%83%d1%9f%d0%b5%d1%82-%d0%b0%d0%bf%d0%b2-201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http://www.psf.vojvodina.sr.gov.yu/" TargetMode="External"/><Relationship Id="rId40" Type="http://schemas.openxmlformats.org/officeDocument/2006/relationships/image" Target="media/image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novica.todorovic@vojvodina.gov.rs" TargetMode="Externa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budzet.vojvodina.gov.rs/ps-za-finansi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16563</Words>
  <Characters>94412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Naselje</Company>
  <LinksUpToDate>false</LinksUpToDate>
  <CharactersWithSpaces>110754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4</cp:revision>
  <cp:lastPrinted>2018-02-01T12:26:00Z</cp:lastPrinted>
  <dcterms:created xsi:type="dcterms:W3CDTF">2018-02-01T11:20:00Z</dcterms:created>
  <dcterms:modified xsi:type="dcterms:W3CDTF">2018-02-01T12:26:00Z</dcterms:modified>
</cp:coreProperties>
</file>